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sz w:val="24"/>
        </w:rPr>
        <w:t>October 21, 2026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The Editor</w:t>
      </w:r>
    </w:p>
    <w:p>
      <w:r>
        <w:rPr>
          <w:b w:val="0"/>
          <w:i w:val="0"/>
          <w:sz w:val="24"/>
        </w:rPr>
        <w:t>PLOS ONE</w:t>
      </w:r>
    </w:p>
    <w:p>
      <w:r>
        <w:rPr>
          <w:b w:val="0"/>
          <w:i w:val="0"/>
          <w:sz w:val="24"/>
        </w:rPr>
        <w:t>Public Library of Science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Dear Editor,</w:t>
      </w:r>
    </w:p>
    <w:p>
      <w:r>
        <w:rPr>
          <w:b w:val="0"/>
          <w:i w:val="0"/>
          <w:sz w:val="24"/>
        </w:rPr>
      </w:r>
    </w:p>
    <w:p>
      <w:r>
        <w:t>Please consider our Research Article entitled “A controlled stiffness signature does not transfer to neuropathic-pain transcriptomes, while established ECM/mechanotransduction gene sets show tissue-specific shifts” for publication in PLOS ONE.</w:t>
      </w:r>
    </w:p>
    <w:p>
      <w:r>
        <w:rPr>
          <w:b w:val="0"/>
          <w:i w:val="0"/>
          <w:sz w:val="24"/>
        </w:rPr>
      </w:r>
    </w:p>
    <w:p>
      <w:r>
        <w:t>We report a prospectively specified, two-stage reanalysis testing whether a mechanically controlled (substrate-stiffness) transcriptional programme, derived from HEK293A (GSE98547), engages pain-relevant tissues (dorsal root ganglion, spinal cord) after nerve injury. The signature was biologically anchored (CTGF Δ = +1.64, P = 9.5 × 10⁻⁶) and the pipeline’s sensitivity was confirmed by a literature-derived nerve-injury gene set (Hedges g = 3.85, P = 0.0286). The pre-registered conclusion is that the HEK293A-derived stiffness programme does not transfer to injured DRG (a sample-level, sensitivity-validated null rather than a method artifact), whereas established ECM / mechanotransduction gene sets retain a DRG-over-blood shift once baseline-expression confounding is controlled. That positive reading is qualified: G1 and G5 overlap by 10 genes and G4's large ratio is a denominator artefact, so the apparent '4/5' is inflated and the genuine independent wins are G1, G3, and G5. The work is thus both a negative result (the projected signature fails) and a methodology-driven correction to prior “ECM enrichment in pain” interpretations — a fit for PLOS ONE’s readership, which values rigour, open data, and reusable analytical workflows.</w:t>
      </w:r>
    </w:p>
    <w:p>
      <w:r>
        <w:rPr>
          <w:b w:val="0"/>
          <w:i w:val="0"/>
          <w:sz w:val="24"/>
        </w:rPr>
      </w:r>
    </w:p>
    <w:p>
      <w:r>
        <w:t>We confirm this work is original, has not been published, and is not under consideration elsewhere. We used only de-identified public data (GSE98547, GSE111216, GSE261676); no new human or animal subjects were enrolled, so no IRB/ethics approval was required. All analysis code, configuration, and result artifacts are deposited at https://github.com/yyx-4113/matrix-stiffness-neuropathic-pain (tag v1.0.0) with a checksummed MANIFEST, satisfying the journal’s open-data mandate. There are no competing interests and no funding to declare.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Thank you for your consideration.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Sincerely,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Yongxin Yang, B.M.</w:t>
      </w:r>
    </w:p>
    <w:p>
      <w:r>
        <w:rPr>
          <w:b w:val="0"/>
          <w:i w:val="0"/>
          <w:sz w:val="24"/>
        </w:rPr>
        <w:t>The Second Affiliated Hospital of Fujian University of Traditional Chinese Medicine, Fuzhou, Fujian 350003, China</w:t>
      </w:r>
    </w:p>
    <w:p>
      <w:r>
        <w:rPr>
          <w:b w:val="0"/>
          <w:i w:val="0"/>
          <w:sz w:val="24"/>
        </w:rPr>
        <w:t>ORCID: 0009-0004-9698-6552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