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A controlled stiffness signature does not transfer to neuropathic-pain transcriptomes, while established ECM gene sets retain tissue specificity</w:t>
      </w:r>
    </w:p>
    <w:p>
      <w:pPr>
        <w:jc w:val="center"/>
      </w:pPr>
      <w:r>
        <w:rPr>
          <w:b/>
        </w:rPr>
        <w:t>Yongxin Yang</w:t>
      </w:r>
      <w:r>
        <w:t xml:space="preserve"> (ORCID 0009-0004-9698-6552)</w:t>
      </w:r>
    </w:p>
    <w:p>
      <w:pPr>
        <w:jc w:val="center"/>
      </w:pPr>
      <w:r>
        <w:t>The Second Affiliated Hospital of Fujian University of Traditional Chinese Medicine, Fuzhou, Fujian 350003, China</w:t>
      </w:r>
    </w:p>
    <w:p>
      <w:r>
        <w:rPr>
          <w:b/>
          <w:sz w:val="26"/>
        </w:rPr>
        <w:t>Abstract</w:t>
      </w:r>
    </w:p>
    <w:p>
      <w:r>
        <w:rPr>
          <w:b/>
        </w:rPr>
        <w:t>Background.</w:t>
      </w:r>
      <w:r>
        <w:t xml:space="preserve"> Transcriptomic studies of chronic pain repeatedly report enrichment of broad "extracellular-matrix organization" gene sets. Whether a transcript program </w:t>
      </w:r>
      <w:r>
        <w:rPr>
          <w:i/>
        </w:rPr>
        <w:t>genuinely driven by extracellular-matrix stiffness</w:t>
      </w:r>
      <w:r>
        <w:t xml:space="preserve"> engages pain-relevant tissues (dorsal root ganglion, DRG; spinal cord, SC) has never been tested with a signature whose mechanical driver is experimentally controlled.</w:t>
      </w:r>
    </w:p>
    <w:p>
      <w:r>
        <w:rPr>
          <w:b/>
        </w:rPr>
        <w:t>Methods.</w:t>
      </w:r>
      <w:r>
        <w:t xml:space="preserve"> We conducted a prospectively specified, two-stage reanalysis. A Hippo-dependent stiffness signature (HD_up, n = 18; HD_down, n = 41) was derived from GSE98547 (human HEK293A, 1 vs 40 kPa fibronectin hydrogels, four Hippo-pathway genotypes) and projected onto GSE111216 (four tissues × two neuropathic-pain models, summary statistics) and GSE261676 (mouse DRG, sample-level, spared-nerve-injury model). All endpoints were frozen before inspecting pain data. A pre-specified positive-control test and a five-set specificity benchmark (Layer 3) tested sensitivity and generality.</w:t>
      </w:r>
    </w:p>
    <w:p>
      <w:r>
        <w:rPr>
          <w:b/>
        </w:rPr>
        <w:t>Results.</w:t>
      </w:r>
      <w:r>
        <w:t xml:space="preserve"> We first established a validated, sensitivity-tested pipeline. The stiffness signature was biologically anchored (CTGF Δ = +1.64, P = 9.5 × 10⁻⁶), and a pre-specified positive-control test confirmed sensitivity: a 12-gene nerve-injury set was detected with full separation (difference = +1.285, P = 0.0286, Hedges g = 3.85). Against this validated baseline, the HEK293A-derived stiffness program did </w:t>
      </w:r>
      <w:r>
        <w:rPr>
          <w:b/>
        </w:rPr>
        <w:t>not</w:t>
      </w:r>
      <w:r>
        <w:t xml:space="preserve"> transfer to pain tissue. In Stage A (expression-matched calibration) DRG×SNI HD_up gave MRU = 0.717, P = 0.102, BH (Benjamini–Hochberg) q = 0.409, and the blood negative control was </w:t>
      </w:r>
      <w:r>
        <w:rPr>
          <w:i/>
        </w:rPr>
        <w:t>equally non-significant</w:t>
      </w:r>
      <w:r>
        <w:t xml:space="preserve"> (MRU = 0.696, P = 0.100, q = 0.409); per §5.3 Stage A is uninformative. In Stage B HD_up produced a bounded null (difference = +0.146, P = 0.80, Hedges g = 0.219). The failure is signature-specific, not universal: in the Layer-3 benchmark only 1/5 ECM/mechanotransduction sets lacked specificity (specificity index range 0.44–240.5), 4/5 shifted </w:t>
      </w:r>
      <w:r>
        <w:rPr>
          <w:i/>
        </w:rPr>
        <w:t>at least as far in DRG as in blood</w:t>
      </w:r>
      <w:r>
        <w:t>, and G1 and G5 reached BH significance in DRG×SNI (q = 0.0010 and 0.0016).</w:t>
      </w:r>
    </w:p>
    <w:p>
      <w:r>
        <w:rPr>
          <w:b/>
        </w:rPr>
        <w:t>Conclusions.</w:t>
      </w:r>
      <w:r>
        <w:t xml:space="preserve"> Using a sensitivity-validated pipeline, we show that the cross-cell-type projection of a HEK293A-derived stiffness program does not transfer to pain tissues (bounded, sensitivity-validated null). The failure is </w:t>
      </w:r>
      <w:r>
        <w:rPr>
          <w:i/>
        </w:rPr>
        <w:t>signature- and cell-type-specific</w:t>
      </w:r>
      <w:r>
        <w:t>, not a universal projection artifact: once baseline-expression confounding is controlled, established ECM/mechanotransduction gene sets retain tissue specificity (4/5, with G1 and G5 significant in DRG×SNI). Literature "ECM enrichment in pain" findings are not disproven; our result circumscribes their interpretation to the source cell type of the projected signature.</w:t>
      </w:r>
    </w:p>
    <w:p>
      <w:r>
        <w:rPr>
          <w:b/>
          <w:sz w:val="26"/>
        </w:rPr>
        <w:t>Background</w:t>
      </w:r>
    </w:p>
    <w:p>
      <w:r>
        <w:t>Neuropathic pain transcriptomes consistently show upregulation of extracellular-matrix (ECM) and mechanotransduction-related terms [2,5,7]. The prevailing interpretation is that mechanical signalling programs are engaged in injured sensory pathways. Two inferential gaps limit this conclusion. First, "ECM organization" is a broad Gene Ontology term encompassing hundreds of housekeeping collagens and glycoproteins; its enrichment does not isolate a mechanistically defined program. Second, the direction of causality is unclear: ECM changes may be downstream sequelae rather than drivers of the pain state.</w:t>
      </w:r>
    </w:p>
    <w:p>
      <w:r>
        <w:t xml:space="preserve">A cleaner test requires a signature whose mechanical driver is </w:t>
      </w:r>
      <w:r>
        <w:rPr>
          <w:i/>
        </w:rPr>
        <w:t>experimentally manipulated</w:t>
      </w:r>
      <w:r>
        <w:t xml:space="preserve">, not inferred. GSE98547 [1] varied substrate stiffness (1 kPa vs 40 kPa) across four Hippo-pathway genotypes, allowing the stiffness response to be decomposed into Hippo-dependent (HD) and Hippo-independent components. Projecting such a controlled signature onto pain transcriptomes asks a falsifiable question: does the </w:t>
      </w:r>
      <w:r>
        <w:rPr>
          <w:i/>
        </w:rPr>
        <w:t>same</w:t>
      </w:r>
      <w:r>
        <w:t xml:space="preserve"> mechanically defined program re-appear in injured DRG/SC?</w:t>
      </w:r>
    </w:p>
    <w:p>
      <w:r>
        <w:t>We pre-registered this question as a reanalysis with frozen endpoints, dual negative controls, and a positive-control sensitivity test, to avoid the HARKing and selection biases that undermine post-hoc enrichment claims.</w:t>
      </w:r>
    </w:p>
    <w:p>
      <w:r>
        <w:t xml:space="preserve">A prospective, sensitivity-validated design lets us separate a </w:t>
      </w:r>
      <w:r>
        <w:rPr>
          <w:i/>
        </w:rPr>
        <w:t>true</w:t>
      </w:r>
      <w:r>
        <w:t xml:space="preserve"> bounded null (a genuine absence that survives a sensitivity check) from a </w:t>
      </w:r>
      <w:r>
        <w:rPr>
          <w:i/>
        </w:rPr>
        <w:t>methodological</w:t>
      </w:r>
      <w:r>
        <w:t xml:space="preserve"> null (one that would also erase real signal). That separation is the contribution of this reanalysis: it tells us, with calibration, where a controlled stiffness program does and does not engage pain transcriptomes.</w:t>
      </w:r>
    </w:p>
    <w:p>
      <w:r>
        <w:rPr>
          <w:b/>
          <w:sz w:val="26"/>
        </w:rPr>
        <w:t>Methods</w:t>
      </w:r>
    </w:p>
    <w:p>
      <w:r>
        <w:rPr>
          <w:b/>
          <w:sz w:val="24"/>
        </w:rPr>
        <w:t>Data sources</w:t>
      </w:r>
    </w:p>
    <w:p>
      <w:r>
        <w:t>Three public datasets were used (all re-use of de-identified public data; no new subjects). GSE98547 [1] (human HEK293A, 4 genotypes × 2 stiffness × 3 replicates = 24 samples) trained the signature. GSE111216 [2] (mouse; DRG, spinal cord SC, brain BRN, blood BLD × SNI and CFA models, n = 3 per contrast, per-contrast summary statistics) provided the first projection. GSE261676 [3] (mouse DRG; SNI vs sham × saline/DMI, 4 vs 4 sample-level counts) provided sample-level validation.</w:t>
      </w:r>
    </w:p>
    <w:p>
      <w:r>
        <w:rPr>
          <w:b/>
          <w:sz w:val="24"/>
        </w:rPr>
        <w:t>Signature derivation (Layer 0)</w:t>
      </w:r>
    </w:p>
    <w:p>
      <w:r>
        <w:t xml:space="preserve">Per gene, the stiffness response was computed as log₂(FPKM + 1) contrast (40 kPa − 1 kPa) within each genotype. HD genes were those responding in WT but whose response was abolished in YAP/TAZ-dKO (or LATS1/2-dKO), operationally |Δ_YTKO| ≤ 0.5|Δ_WT| after Welch testing. This yields HD_up (n = 18) and HD_down (n = 41). LATS-confirmation was computed as the fraction of HD (vs HI) genes whose YAP/TAZ-dependence was </w:t>
      </w:r>
      <w:r>
        <w:rPr>
          <w:i/>
        </w:rPr>
        <w:t>directionally</w:t>
      </w:r>
      <w:r>
        <w:t xml:space="preserve"> confirmed: the sign of the WT stiffness response agreed between the WT estimate and the YAP/TAZ-dKO (or LATS-dKO) estimate (both positive or both negative), so the response was blunted, not reversed, upon YAP/TAZ loss.</w:t>
      </w:r>
    </w:p>
    <w:p>
      <w:r>
        <w:rPr>
          <w:b/>
          <w:sz w:val="24"/>
        </w:rPr>
        <w:t>Projection and endpoints (Stage A, Layer 1)</w:t>
      </w:r>
    </w:p>
    <w:p>
      <w:r>
        <w:t xml:space="preserve">The pre-specified primary endpoint was rank-based concordance of HD_up in DRG×SNI, using the median-rank utility (MRU = median(member rank)/(n_expressed − 1), 1-based; 0.5 = no shift) against a size- and baseline-expression-decile-matched null (without replacement, 10 000 iterations). Negative controls were BLD and BRN. The pre-specified governance rule (§5.3) states that if a negative control is </w:t>
      </w:r>
      <w:r>
        <w:rPr>
          <w:i/>
        </w:rPr>
        <w:t>equally</w:t>
      </w:r>
      <w:r>
        <w:t xml:space="preserve"> significant to the primary, tissue-specific attribution cannot be made.</w:t>
      </w:r>
    </w:p>
    <w:p>
      <w:r>
        <w:rPr>
          <w:b/>
          <w:sz w:val="24"/>
        </w:rPr>
        <w:t>Sample-level module scores (Stage B, Layer 2)</w:t>
      </w:r>
    </w:p>
    <w:p>
      <w:r>
        <w:t>On GSE261676, each gene was converted to CPM → log₂(CPM + 1) → per-gene cross-sample z-score; set scores were member-z means. The B-primary was the saline-arm SNI-vs-sham HD_up score difference, tested by exhaustive exact permutation over all C(8,4) = 70 possible 4-vs-4 splits (two-sided), cross-checked with Welch t and Mann–Whitney U. Hedges g provided the effect size.</w:t>
      </w:r>
    </w:p>
    <w:p>
      <w:r>
        <w:rPr>
          <w:b/>
          <w:sz w:val="24"/>
        </w:rPr>
        <w:t>Positive control and bias controls</w:t>
      </w:r>
    </w:p>
    <w:p>
      <w:r>
        <w:t xml:space="preserve">A 12-gene nerve-injury marker set (ATF3, SPRR1A, GAL, NPY, SOX11, GAP43, NGFR, VGF, STMN4, BASP1, MMP9, TIMP1) was run through the </w:t>
      </w:r>
      <w:r>
        <w:rPr>
          <w:i/>
        </w:rPr>
        <w:t>identical</w:t>
      </w:r>
      <w:r>
        <w:t xml:space="preserve"> Stage B pipeline. Because this set shares zero members with the stiffness signature and was selected from literature only, its detection validates pipeline sensitivity; its failure would void all null conclusions.</w:t>
      </w:r>
    </w:p>
    <w:p>
      <w:r>
        <w:rPr>
          <w:b/>
          <w:sz w:val="24"/>
        </w:rPr>
        <w:t>Generality benchmark (Layer 3)</w:t>
      </w:r>
    </w:p>
    <w:p>
      <w:r>
        <w:t xml:space="preserve">Five independent, literature-sourced ECM/mechanotransduction gene sets were projected with the same MRU statistic onto GSE111216: G1 core matrisome [5], G2 YAP/TAZ canonical targets [9], G3 mechanosensing adhesome [6], G4 actin/Rho/ROCK cytoskeleton [10], G5 ECM remodelling/fibrosis [7,8]. The specificity index SI_g = |MRU(DRG,SNI) − 0.5| / |MRU(BLD,SNI) − 0.5|; SI_g &lt; 1 denotes failure of tissue specificity. The pre-specified primary rule: if ≥ 4/5 sets fail specificity, the lack of specificity is a </w:t>
      </w:r>
      <w:r>
        <w:rPr>
          <w:i/>
        </w:rPr>
        <w:t>general</w:t>
      </w:r>
      <w:r>
        <w:t xml:space="preserve"> property of projection, not of one signature.</w:t>
      </w:r>
    </w:p>
    <w:p>
      <w:r>
        <w:rPr>
          <w:b/>
          <w:sz w:val="24"/>
        </w:rPr>
        <w:t>Sample-level divergence (Layer 3b) and positive characterisation (Layer 4)</w:t>
      </w:r>
    </w:p>
    <w:p>
      <w:r>
        <w:t xml:space="preserve">Layer 3b re-tested the five sets plus HD_up and the positive control on GSE261676 sample-level data (exact permutation, Hedges g). Layer 4 characterized genes </w:t>
      </w:r>
      <w:r>
        <w:rPr>
          <w:i/>
        </w:rPr>
        <w:t>actually</w:t>
      </w:r>
      <w:r>
        <w:t xml:space="preserve"> upregulated in injured DRG (per-gene Welch t over 15 345 detection-passed genes, BH correction), reporting how many fell in G1/G4/G5 and comparing to HD_up members via Fisher exact test.</w:t>
      </w:r>
    </w:p>
    <w:p>
      <w:r>
        <w:rPr>
          <w:b/>
          <w:sz w:val="26"/>
        </w:rPr>
        <w:t>Results</w:t>
      </w:r>
    </w:p>
    <w:p>
      <w:r>
        <w:rPr>
          <w:b/>
          <w:sz w:val="24"/>
        </w:rPr>
        <w:t>Layer 0: a biologically anchored stiffness signature</w:t>
      </w:r>
    </w:p>
    <w:p>
      <w:r>
        <w:t xml:space="preserve">The HD_up set (n = 18) is anchored by established YAP/TAZ targets: CTGF (Δ = +1.64, P = 9.5 × 10⁻⁶), CYR61 (+0.99), ANKRD1 (+1.43), and AMOTL2 (+1.38). Four of the eighteen members are canonical CTGF-class YAP/TAZ effectors; the remaining fourteen are heterogeneous (adhesion, cytoskeletal, and regulatory genes) that meet the Hippo-dependence criterion (Figure 1). LATS confirmation was 79.7% for HD versus 28.6% for HI genes, confirming that the HD classification captures genuine Hippo-pathway dependence (Figure 1, shaded cone). The signature is therefore biologically meaningful </w:t>
      </w:r>
      <w:r>
        <w:rPr>
          <w:i/>
        </w:rPr>
        <w:t>as a controlled in vitro program</w:t>
      </w:r>
      <w:r>
        <w:t>, while its "core" is mechanistic rather than a uniform set of canonical targets.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382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signature_deriva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2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Figure 1. Signature derivation: Hippo-dependent members</w:t>
      </w:r>
    </w:p>
    <w:p>
      <w:r>
        <w:rPr>
          <w:b/>
          <w:sz w:val="24"/>
        </w:rPr>
        <w:t>Stage A: negative control as strong as target (uninformative)</w:t>
      </w:r>
    </w:p>
    <w:p>
      <w:r>
        <w:t xml:space="preserve">Under the pre-specified expression-matched calibration, DRG×SNI HD_up gave MRU = 0.717, exact/permutation P = 0.102, BH q = 0.409 (not significant). The blood negative control was </w:t>
      </w:r>
      <w:r>
        <w:rPr>
          <w:i/>
        </w:rPr>
        <w:t>statistically indistinguishable</w:t>
      </w:r>
      <w:r>
        <w:t xml:space="preserve">: MRU = 0.696, P = 0.100, q = 0.409 (Table 2). Per §5.3, because the negative control is equally non-significant (q = 0.409 = DRG), no tissue-specific attribution can be made; Stage A is </w:t>
      </w:r>
      <w:r>
        <w:rPr>
          <w:b/>
        </w:rPr>
        <w:t>uninformative</w:t>
      </w:r>
      <w:r>
        <w:t xml:space="preserve">, not merely "negative." A separate, non-pre-specified unstratified calibration (full background including 40–58% zero-expression loci; baseline-zero fractions DRG 42.8%, BLD 58.5%, SC 41.0%, BRN 40.5%; Kolmogorov–Smirnov D ≈ 0.49 throughout) gave DRG P = 0.597 and BLD P = 0.0009, a pattern driven by the zero-expression confound and explicitly </w:t>
      </w:r>
      <w:r>
        <w:rPr>
          <w:i/>
        </w:rPr>
        <w:t>not</w:t>
      </w:r>
      <w:r>
        <w:t xml:space="preserve"> the primary endpoint.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7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per_animal_scor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Figure 2. Per-animal HD_down module scores (saline arm)</w:t>
      </w:r>
    </w:p>
    <w:p>
      <w:r>
        <w:rPr>
          <w:b/>
          <w:sz w:val="24"/>
        </w:rPr>
        <w:t>Stage B: bounded null for HD_up; pipeline sensitivity proven</w:t>
      </w:r>
    </w:p>
    <w:p>
      <w:r>
        <w:t xml:space="preserve">In the sample-level 4-vs-4 test, HD_up showed a bounded null (difference = +0.146, exact P = 0.80, Hedges g = 0.219; coverage 0.611, 11/18 members expressed in mouse DRG) (Figure 4). The positive control, run through identical scoring/permutation code, was detected at the 4-vs-4 lower bound (difference = +1.285, exact P = 0.0286, Hedges g = 3.85; Mann–Whitney P = 0.0286) (Figure 5). The 17.6-fold Hedges-g gap between positive control and HD_up, on identical code, shows the HD_up null is </w:t>
      </w:r>
      <w:r>
        <w:rPr>
          <w:i/>
        </w:rPr>
        <w:t>bounded</w:t>
      </w:r>
      <w:r>
        <w:t xml:space="preserve"> (a real absence of detectable signal at this design) rather than a sensitivity failure. HD_down reached a nominally significant but BH-non-significant (q = 0.086) reverse elevation (difference = +0.397, P = 0.0286, g = 2.658) and is reported </w:t>
      </w:r>
      <w:r>
        <w:rPr>
          <w:b/>
        </w:rPr>
        <w:t>as hypothesis-generating only</w:t>
      </w:r>
      <w:r>
        <w:t xml:space="preserve"> (Figure 2, 3); its direction was preserved under leave-one-animal-out and a Q4 expression-matched null (P = 0.092), supporting that the elevation is not a single-animal artifact.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580423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member_contribution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804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Figure 3. Per-member contribution to the HD_down signal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1570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matched_nul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70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Figure 4. Observed separation against the size- and expression-matched null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14793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ositive_control_vs_signatur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7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Figure 5. Pipeline sensitivity: positive control vs stiffness signatures</w:t>
      </w:r>
    </w:p>
    <w:p>
      <w:r>
        <w:rPr>
          <w:b/>
          <w:sz w:val="24"/>
        </w:rPr>
        <w:t>Layer 3: specificity retained by established sets; the projection failure is signature-specific</w:t>
      </w:r>
    </w:p>
    <w:p>
      <w:r>
        <w:t xml:space="preserve">Against the matched null, the five independent sets behaved heterogeneously (Figure 6, Table 3): G1 (SI = 38.4), G3 (SI = 1.44), G4 (SI = 240.5), and G5 (SI = 9.06) all showed </w:t>
      </w:r>
      <w:r>
        <w:rPr>
          <w:i/>
        </w:rPr>
        <w:t>stronger</w:t>
      </w:r>
      <w:r>
        <w:t xml:space="preserve"> DRG-than-blood shift, whereas G2 (YAP/TAZ canonical targets, SI = 0.44) failed. Only 1/5 sets lacked specificity, so the pre-specified primary rule (≥ 4/5 failing) was </w:t>
      </w:r>
      <w:r>
        <w:rPr>
          <w:b/>
        </w:rPr>
        <w:t>not</w:t>
      </w:r>
      <w:r>
        <w:t xml:space="preserve"> met, and we could </w:t>
      </w:r>
      <w:r>
        <w:rPr>
          <w:i/>
        </w:rPr>
        <w:t>not</w:t>
      </w:r>
      <w:r>
        <w:t xml:space="preserve"> show that specificity failure is universal. Of 40 tests (5 sets × 4 tissues × 2 models), 8 survived BH correction (q &lt; 0.05), all in DRG/SC/BRN with none in blood.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31640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generalit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16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Figure 6. Tissue specificity of five independent ECM / mechano gene sets</w:t>
      </w:r>
    </w:p>
    <w:p>
      <w:r>
        <w:rPr>
          <w:b/>
          <w:sz w:val="24"/>
        </w:rPr>
        <w:t>Layer 3b and Layer 4: sample-level confirmation and descriptive characterisation</w:t>
      </w:r>
    </w:p>
    <w:p>
      <w:r>
        <w:t>Layer 3b did not support a divergence pattern: 0/5 ECM sets were significantly upregulated in the saline-arm SNI-vs-sham test (Hedges g 0.31–1.13; positive control g = 3.85, P = 0.0286; HD_up g = 0.219, P = 0.80); its primary endpoint FAILED (Figure S1). Layer 4 characterized injured DRG directly: of 15 345 tested genes, 8 were significantly upregulated (q &lt; 0.05) and 3 down; the ECM-union (G1/G4/G5) contributed 0 significant-up genes (Fisher OR = 0, P = 1.0), and HD_up members contributed 0. Layer 4's primary endpoint FAILED, confirming the descriptive landscape is not dominated by ECM-structure upregulation.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10049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S1_layer3b_effect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004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Figure S1. Layer-3b sample-level effect sizes (7 gene sets)</w:t>
      </w:r>
    </w:p>
    <w:p>
      <w:r>
        <w:rPr>
          <w:b/>
          <w:sz w:val="26"/>
        </w:rPr>
        <w:t>Discussion</w:t>
      </w:r>
    </w:p>
    <w:p>
      <w:r>
        <w:rPr>
          <w:b/>
          <w:sz w:val="24"/>
        </w:rPr>
        <w:t>What the data show</w:t>
      </w:r>
    </w:p>
    <w:p>
      <w:r>
        <w:t xml:space="preserve">The results establish a working, sensitivity-validated pipeline and localise the failure precisely. The signature was biologically anchored (CTGF Δ = +1.64, P = 9.5 × 10⁻⁶), and the positive-control test passed with full separation (nerve-injury set difference = +1.285, P = 0.0286, Hedges g = 3.85), confirming the pipeline can detect a true DRG signal. Against that validated baseline, four pre-specified primary endpoints were tested. Stage A (§5.3 verdict), Layer 3b, and Layer 4 did not confirm the hypothesised tissue-specific engagement, and the Layer-3 </w:t>
      </w:r>
      <w:r>
        <w:rPr>
          <w:i/>
        </w:rPr>
        <w:t>universal-failure</w:t>
      </w:r>
      <w:r>
        <w:t xml:space="preserve"> primary was also not met, but its non-meeting means specificity was </w:t>
      </w:r>
      <w:r>
        <w:rPr>
          <w:i/>
        </w:rPr>
        <w:t>retained</w:t>
      </w:r>
      <w:r>
        <w:t xml:space="preserve">, not lost (only 1/5 sets lacked specificity). Two of the nulls are </w:t>
      </w:r>
      <w:r>
        <w:rPr>
          <w:i/>
        </w:rPr>
        <w:t>informative</w:t>
      </w:r>
      <w:r>
        <w:t xml:space="preserve">, not method failures: (i) Stage A is governed as uninformative by §5.3 because the blood control is equally non-significant; (ii) Stage B's HD_up null is bounded and sensitivity-validated, its 17.6-fold Hedges-g gap to the positive control showing a real absence of detectable signal at this design rather than a sensitivity collapse. The Layer-3 benchmark delivered the most substantive result: </w:t>
      </w:r>
      <w:r>
        <w:rPr>
          <w:b/>
        </w:rPr>
        <w:t>under proper expression-stratification, established ECM/mechanotransduction gene sets retain tissue specificity in pain</w:t>
      </w:r>
      <w:r>
        <w:t xml:space="preserve"> (4/5 DRG &gt; blood; G1 SI = 38.4 and G5 SI = 9.06 reach BH significance in DRG×SNI, q = 0.0010 and 0.0016), refuting the hypothesis that projection statistics inherently fail. The spurious "blood shifts more than DRG" pattern seen in the unstratified Stage A calibration is explained by baseline zero-expression confounding (40–58% of loci), which the matched null corrects.</w:t>
      </w:r>
    </w:p>
    <w:p>
      <w:r>
        <w:t xml:space="preserve">Two distinct claims must not be conflated. Layer 3 establishes </w:t>
      </w:r>
      <w:r>
        <w:rPr>
          <w:i/>
        </w:rPr>
        <w:t>rank-projection direction-of-shift specificity</w:t>
      </w:r>
      <w:r>
        <w:t xml:space="preserve">: whether each set's membership shifts more in DRG than in blood. There, 4/5 established sets are affirmed. Layer 3b and Layer 4 instead ask whether these sets are </w:t>
      </w:r>
      <w:r>
        <w:rPr>
          <w:i/>
        </w:rPr>
        <w:t>upregulated in injured DRG at the sample level</w:t>
      </w:r>
      <w:r>
        <w:t>; there the design is simply underpowered and inconclusive. Specificity retained in the rank projection does not entail sample-level upregulation, nor does the latter's absence negate the former.</w:t>
      </w:r>
    </w:p>
    <w:p>
      <w:r>
        <w:t xml:space="preserve">We therefore revise the interpretation relative to the pre-registered hypotheses: the cross-cell-type projection of a </w:t>
      </w:r>
      <w:r>
        <w:rPr>
          <w:i/>
        </w:rPr>
        <w:t>HEK293A-derived</w:t>
      </w:r>
      <w:r>
        <w:t xml:space="preserve"> stiffness program does not transfer to mouse pain DRG/SC, and this is most parsimoniously a </w:t>
      </w:r>
      <w:r>
        <w:rPr>
          <w:b/>
        </w:rPr>
        <w:t>cell-type- and mechanical-input-specific</w:t>
      </w:r>
      <w:r>
        <w:t xml:space="preserve"> limit of this particular HEK293A-derived, substrate-fibronectin-stiffness program (HEK293A epithelium ≠ sensory neuron/glia) rather than evidence that pain-ECM findings are artifacts. Our null thus </w:t>
      </w:r>
      <w:r>
        <w:rPr>
          <w:i/>
        </w:rPr>
        <w:t>circumscribes</w:t>
      </w:r>
      <w:r>
        <w:t xml:space="preserve"> the literature's "ECM enrichment in pain" claims to the source cell type of the projected signature, without disproving them.</w:t>
      </w:r>
    </w:p>
    <w:p>
      <w:r>
        <w:rPr>
          <w:b/>
          <w:sz w:val="24"/>
        </w:rPr>
        <w:t>Core conclusions</w:t>
      </w:r>
    </w:p>
    <w:p>
      <w:r>
        <w:t>1. A stiffness-controlled experiment can yield a biologically anchored mechanosignature (CTGF Δ = +1.64, P = 9.5 × 10⁻⁶); the signature itself is sound.</w:t>
      </w:r>
    </w:p>
    <w:p>
      <w:r>
        <w:t xml:space="preserve">2. Projecting that signature onto pain transcriptomes yields no tissue-specific evidence of engagement (Stage A §5.3 uninformative; Stage B bounded null), but this is a </w:t>
      </w:r>
      <w:r>
        <w:rPr>
          <w:i/>
        </w:rPr>
        <w:t>bounded, sensitivity-validated</w:t>
      </w:r>
      <w:r>
        <w:t xml:space="preserve"> null, not a method artifact.</w:t>
      </w:r>
    </w:p>
    <w:p>
      <w:r>
        <w:t>3. The failure is signature- and cell-type-specific: expression-stratified projection recovers specificity for established ECM/mechano sets, so literature "ECM enrichment in pain" findings are not invalidated by our result.</w:t>
      </w:r>
    </w:p>
    <w:p>
      <w:r>
        <w:rPr>
          <w:b/>
          <w:sz w:val="24"/>
        </w:rPr>
        <w:t>Limitations</w:t>
      </w:r>
    </w:p>
    <w:p>
      <w:r>
        <w:t xml:space="preserve">This study re-uses public data with inherent constraints: GSE111216 deposits only per-contrast summary statistics (n = 3), preventing sample-level and behavioural-covariate analysis; GSE261676 is a 4-vs-4 design whose exact-permutation lower bound is P ≈ 0.029. HEK293A is non-neuronal, so the signature captures a mechanistically defined (Hippo-dependent) but not neuron-specific program; cross-species symbol mapping is required and HD_up coverage in mouse DRG was 0.611. The mechanical input also differs between the two settings: culture-substrate fibronectin stiffness versus nerve compression or perineural fibrosis in vivo. Cell-type and mechanical-input mismatches are therefore confounded and cannot be separated here. The post-hoc observation that YAP/TAZ-class targets (G2) lose specificity while structural-ECM sets (G1/G3/G4/G5) retain it is reported as hypothesis-generating only, and we are not aware of direct DRG literature that separates these programs in neuropathic pain; independent validation is required. HD_down is likewise hypothesis-generating only. The Layer-3 primary endpoint (universal specificity failure) was not met; generality of the </w:t>
      </w:r>
      <w:r>
        <w:rPr>
          <w:i/>
        </w:rPr>
        <w:t>signature-specific</w:t>
      </w:r>
      <w:r>
        <w:t xml:space="preserve"> null is therefore asserted only for the HD_up program and its source cell type.</w:t>
      </w:r>
    </w:p>
    <w:p>
      <w:r>
        <w:rPr>
          <w:b/>
          <w:sz w:val="26"/>
        </w:rPr>
        <w:t>Declarations</w:t>
      </w:r>
    </w:p>
    <w:p>
      <w:r>
        <w:rPr>
          <w:b/>
        </w:rPr>
        <w:t>Ethics.</w:t>
      </w:r>
      <w:r>
        <w:t xml:space="preserve"> This study used only public, de-identified transcriptomic datasets; no new human or animal subjects were enrolled.</w:t>
      </w:r>
    </w:p>
    <w:p>
      <w:r>
        <w:rPr>
          <w:b/>
        </w:rPr>
        <w:t>Data availability.</w:t>
      </w:r>
      <w:r>
        <w:t xml:space="preserve"> Source datasets: GSE98547, GSE111216, GSE261676 (Gene Expression Omnibus). Analysis code, configuration, and all result artifacts are deposited at https://github.com/yyx-4113/matrix-stiffness-neuropathic-pain (tag v1.0.0) with a MANIFEST of checksums; every numeric claim in this manuscript is traceable to a file under </w:t>
      </w:r>
      <w:r>
        <w:rPr>
          <w:rFonts w:ascii="Courier New" w:hAnsi="Courier New"/>
        </w:rPr>
        <w:t>analysis/results/</w:t>
      </w:r>
      <w:r>
        <w:t>.</w:t>
      </w:r>
    </w:p>
    <w:p>
      <w:r>
        <w:rPr>
          <w:b/>
        </w:rPr>
        <w:t>Competing interests.</w:t>
      </w:r>
      <w:r>
        <w:t xml:space="preserve"> None declared.</w:t>
      </w:r>
    </w:p>
    <w:p>
      <w:r>
        <w:rPr>
          <w:b/>
        </w:rPr>
        <w:t>Funding.</w:t>
      </w:r>
      <w:r>
        <w:t xml:space="preserve"> None.</w:t>
      </w:r>
    </w:p>
    <w:p>
      <w:r>
        <w:rPr>
          <w:b/>
        </w:rPr>
        <w:t>Authors' contributions.</w:t>
      </w:r>
      <w:r>
        <w:t xml:space="preserve"> YY conceived, performed, and wrote the analysis and manuscript.</w:t>
      </w:r>
    </w:p>
    <w:p>
      <w:r>
        <w:rPr>
          <w:b/>
        </w:rPr>
        <w:t>Acknowledgements.</w:t>
      </w:r>
      <w:r>
        <w:t xml:space="preserve"> None.</w:t>
      </w:r>
    </w:p>
    <w:p>
      <w:r>
        <w:rPr>
          <w:b/>
          <w:sz w:val="26"/>
        </w:rPr>
        <w:t>Tables</w:t>
      </w:r>
    </w:p>
    <w:p>
      <w:r>
        <w:rPr>
          <w:b/>
          <w:i/>
          <w:sz w:val="20"/>
        </w:rPr>
        <w:t>Table 1. Dataset characteristics.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Dataset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Species / cell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Design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Role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Key limitation</w:t>
            </w:r>
          </w:p>
        </w:tc>
      </w:tr>
      <w:tr>
        <w:tc>
          <w:tcPr>
            <w:tcW w:type="dxa" w:w="1728"/>
          </w:tcPr>
          <w:p>
            <w:r/>
            <w:r>
              <w:t>GSE98547</w:t>
            </w:r>
          </w:p>
        </w:tc>
        <w:tc>
          <w:tcPr>
            <w:tcW w:type="dxa" w:w="1728"/>
          </w:tcPr>
          <w:p>
            <w:r/>
            <w:r>
              <w:rPr>
                <w:i/>
              </w:rPr>
              <w:t>H. sapiens</w:t>
            </w:r>
            <w:r>
              <w:t xml:space="preserve"> / HEK293A</w:t>
            </w:r>
          </w:p>
        </w:tc>
        <w:tc>
          <w:tcPr>
            <w:tcW w:type="dxa" w:w="1728"/>
          </w:tcPr>
          <w:p>
            <w:r/>
            <w:r>
              <w:t>4 genotypes × 2 stiffness (1, 40 kPa) × 3 reps = 24</w:t>
            </w:r>
          </w:p>
        </w:tc>
        <w:tc>
          <w:tcPr>
            <w:tcW w:type="dxa" w:w="1728"/>
          </w:tcPr>
          <w:p>
            <w:r/>
            <w:r>
              <w:t>Layer 0 signature training</w:t>
            </w:r>
          </w:p>
        </w:tc>
        <w:tc>
          <w:tcPr>
            <w:tcW w:type="dxa" w:w="1728"/>
          </w:tcPr>
          <w:p>
            <w:r/>
            <w:r>
              <w:t>Non-neuronal; cross-species mapping required</w:t>
            </w:r>
          </w:p>
        </w:tc>
      </w:tr>
      <w:tr>
        <w:tc>
          <w:tcPr>
            <w:tcW w:type="dxa" w:w="1728"/>
          </w:tcPr>
          <w:p>
            <w:r/>
            <w:r>
              <w:t>GSE111216</w:t>
            </w:r>
          </w:p>
        </w:tc>
        <w:tc>
          <w:tcPr>
            <w:tcW w:type="dxa" w:w="1728"/>
          </w:tcPr>
          <w:p>
            <w:r/>
            <w:r>
              <w:rPr>
                <w:i/>
              </w:rPr>
              <w:t>M. musculus</w:t>
            </w:r>
          </w:p>
        </w:tc>
        <w:tc>
          <w:tcPr>
            <w:tcW w:type="dxa" w:w="1728"/>
          </w:tcPr>
          <w:p>
            <w:r/>
            <w:r>
              <w:t>4 tissues (DRG, SC, BRN, BLD) × 2 models (SNI, CFA), n = 3 per contrast, summary stats</w:t>
            </w:r>
          </w:p>
        </w:tc>
        <w:tc>
          <w:tcPr>
            <w:tcW w:type="dxa" w:w="1728"/>
          </w:tcPr>
          <w:p>
            <w:r/>
            <w:r>
              <w:t>Layer 1 projection</w:t>
            </w:r>
          </w:p>
        </w:tc>
        <w:tc>
          <w:tcPr>
            <w:tcW w:type="dxa" w:w="1728"/>
          </w:tcPr>
          <w:p>
            <w:r/>
            <w:r>
              <w:t>Per-contrast summary only; n = 3; 40–58% zero-expression baseline</w:t>
            </w:r>
          </w:p>
        </w:tc>
      </w:tr>
      <w:tr>
        <w:tc>
          <w:tcPr>
            <w:tcW w:type="dxa" w:w="1728"/>
          </w:tcPr>
          <w:p>
            <w:r/>
            <w:r>
              <w:t>GSE261676</w:t>
            </w:r>
          </w:p>
        </w:tc>
        <w:tc>
          <w:tcPr>
            <w:tcW w:type="dxa" w:w="1728"/>
          </w:tcPr>
          <w:p>
            <w:r/>
            <w:r>
              <w:rPr>
                <w:i/>
              </w:rPr>
              <w:t>M. musculus</w:t>
            </w:r>
            <w:r>
              <w:t xml:space="preserve"> / DRG</w:t>
            </w:r>
          </w:p>
        </w:tc>
        <w:tc>
          <w:tcPr>
            <w:tcW w:type="dxa" w:w="1728"/>
          </w:tcPr>
          <w:p>
            <w:r/>
            <w:r>
              <w:t>SNI vs sham × saline/DMI, 4 vs 4 sample-level counts</w:t>
            </w:r>
          </w:p>
        </w:tc>
        <w:tc>
          <w:tcPr>
            <w:tcW w:type="dxa" w:w="1728"/>
          </w:tcPr>
          <w:p>
            <w:r/>
            <w:r>
              <w:t>Layers 2–4 sample-level</w:t>
            </w:r>
          </w:p>
        </w:tc>
        <w:tc>
          <w:tcPr>
            <w:tcW w:type="dxa" w:w="1728"/>
          </w:tcPr>
          <w:p>
            <w:r/>
            <w:r>
              <w:t>Small n (4v4); drug-arm confound</w:t>
            </w:r>
          </w:p>
        </w:tc>
      </w:tr>
    </w:tbl>
    <w:p>
      <w:r>
        <w:rPr>
          <w:b/>
          <w:i/>
          <w:sz w:val="20"/>
        </w:rPr>
        <w:t>Table 2. Endpoint results summary.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Layer / endpoint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Statistic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Result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Pre-specified verdict</w:t>
            </w:r>
          </w:p>
        </w:tc>
      </w:tr>
      <w:tr>
        <w:tc>
          <w:tcPr>
            <w:tcW w:type="dxa" w:w="2160"/>
          </w:tcPr>
          <w:p>
            <w:r/>
            <w:r>
              <w:t>Stage A primary (HD_up × DRG × SNI, matched)</w:t>
            </w:r>
          </w:p>
        </w:tc>
        <w:tc>
          <w:tcPr>
            <w:tcW w:type="dxa" w:w="2160"/>
          </w:tcPr>
          <w:p>
            <w:r/>
            <w:r>
              <w:t>MRU = 0.717, P = 0.102, q = 0.409</w:t>
            </w:r>
          </w:p>
        </w:tc>
        <w:tc>
          <w:tcPr>
            <w:tcW w:type="dxa" w:w="2160"/>
          </w:tcPr>
          <w:p>
            <w:r/>
            <w:r>
              <w:t>not sig; blood control equally non-significant (MRU = 0.696, P = 0.100, q = 0.409)</w:t>
            </w:r>
          </w:p>
        </w:tc>
        <w:tc>
          <w:tcPr>
            <w:tcW w:type="dxa" w:w="2160"/>
          </w:tcPr>
          <w:p>
            <w:r/>
            <w:r>
              <w:t>§5.3 uninformative</w:t>
            </w:r>
          </w:p>
        </w:tc>
      </w:tr>
      <w:tr>
        <w:tc>
          <w:tcPr>
            <w:tcW w:type="dxa" w:w="2160"/>
          </w:tcPr>
          <w:p>
            <w:r/>
            <w:r>
              <w:t>Stage B primary (HD_up, saline SNI vs sham, 4v4)</w:t>
            </w:r>
          </w:p>
        </w:tc>
        <w:tc>
          <w:tcPr>
            <w:tcW w:type="dxa" w:w="2160"/>
          </w:tcPr>
          <w:p>
            <w:r/>
            <w:r>
              <w:t>diff = +0.146, P = 0.80, g = 0.219</w:t>
            </w:r>
          </w:p>
        </w:tc>
        <w:tc>
          <w:tcPr>
            <w:tcW w:type="dxa" w:w="2160"/>
          </w:tcPr>
          <w:p>
            <w:r/>
            <w:r>
              <w:t>bounded null</w:t>
            </w:r>
          </w:p>
        </w:tc>
        <w:tc>
          <w:tcPr>
            <w:tcW w:type="dxa" w:w="2160"/>
          </w:tcPr>
          <w:p>
            <w:r/>
            <w:r>
              <w:t>not sig</w:t>
            </w:r>
          </w:p>
        </w:tc>
      </w:tr>
      <w:tr>
        <w:tc>
          <w:tcPr>
            <w:tcW w:type="dxa" w:w="2160"/>
          </w:tcPr>
          <w:p>
            <w:r/>
            <w:r>
              <w:t>Stage B positive control (injury markers)</w:t>
            </w:r>
          </w:p>
        </w:tc>
        <w:tc>
          <w:tcPr>
            <w:tcW w:type="dxa" w:w="2160"/>
          </w:tcPr>
          <w:p>
            <w:r/>
            <w:r>
              <w:t>diff = +1.285, P = 0.0286, g = 3.85</w:t>
            </w:r>
          </w:p>
        </w:tc>
        <w:tc>
          <w:tcPr>
            <w:tcW w:type="dxa" w:w="2160"/>
          </w:tcPr>
          <w:p>
            <w:r/>
            <w:r>
              <w:t>detected</w:t>
            </w:r>
          </w:p>
        </w:tc>
        <w:tc>
          <w:tcPr>
            <w:tcW w:type="dxa" w:w="2160"/>
          </w:tcPr>
          <w:p>
            <w:r/>
            <w:r>
              <w:t>PASS (sensitivity)</w:t>
            </w:r>
          </w:p>
        </w:tc>
      </w:tr>
      <w:tr>
        <w:tc>
          <w:tcPr>
            <w:tcW w:type="dxa" w:w="2160"/>
          </w:tcPr>
          <w:p>
            <w:r/>
            <w:r>
              <w:t>Stage B HD_down (secondary)</w:t>
            </w:r>
          </w:p>
        </w:tc>
        <w:tc>
          <w:tcPr>
            <w:tcW w:type="dxa" w:w="2160"/>
          </w:tcPr>
          <w:p>
            <w:r/>
            <w:r>
              <w:t>diff = +0.397, P = 0.0286, q = 0.086, g = 2.658</w:t>
            </w:r>
          </w:p>
        </w:tc>
        <w:tc>
          <w:tcPr>
            <w:tcW w:type="dxa" w:w="2160"/>
          </w:tcPr>
          <w:p>
            <w:r/>
            <w:r>
              <w:t>nominally sig, BH-ns, reverse dir</w:t>
            </w:r>
          </w:p>
        </w:tc>
        <w:tc>
          <w:tcPr>
            <w:tcW w:type="dxa" w:w="2160"/>
          </w:tcPr>
          <w:p>
            <w:r/>
            <w:r>
              <w:t>hypothesis-generating</w:t>
            </w:r>
          </w:p>
        </w:tc>
      </w:tr>
      <w:tr>
        <w:tc>
          <w:tcPr>
            <w:tcW w:type="dxa" w:w="2160"/>
          </w:tcPr>
          <w:p>
            <w:r/>
            <w:r>
              <w:t>Layer 3 primary (≥ 4/5 sets fail specificity)</w:t>
            </w:r>
          </w:p>
        </w:tc>
        <w:tc>
          <w:tcPr>
            <w:tcW w:type="dxa" w:w="2160"/>
          </w:tcPr>
          <w:p>
            <w:r/>
            <w:r>
              <w:t>1/5 failed (G2 SI = 0.44)</w:t>
            </w:r>
          </w:p>
        </w:tc>
        <w:tc>
          <w:tcPr>
            <w:tcW w:type="dxa" w:w="2160"/>
          </w:tcPr>
          <w:p>
            <w:r/>
            <w:r>
              <w:t>rule not met</w:t>
            </w:r>
          </w:p>
        </w:tc>
        <w:tc>
          <w:tcPr>
            <w:tcW w:type="dxa" w:w="2160"/>
          </w:tcPr>
          <w:p>
            <w:r/>
            <w:r>
              <w:t>primary FAIL</w:t>
            </w:r>
          </w:p>
        </w:tc>
      </w:tr>
      <w:tr>
        <w:tc>
          <w:tcPr>
            <w:tcW w:type="dxa" w:w="2160"/>
          </w:tcPr>
          <w:p>
            <w:r/>
            <w:r>
              <w:t>Layer 3 secondary</w:t>
            </w:r>
          </w:p>
        </w:tc>
        <w:tc>
          <w:tcPr>
            <w:tcW w:type="dxa" w:w="2160"/>
          </w:tcPr>
          <w:p>
            <w:r/>
            <w:r>
              <w:t>8/40 BH-significant (all DRG/SC/BRN; blood 0)</w:t>
            </w:r>
          </w:p>
        </w:tc>
        <w:tc>
          <w:tcPr>
            <w:tcW w:type="dxa" w:w="2160"/>
          </w:tcPr>
          <w:p>
            <w:r/>
            <w:r>
              <w:t>n/a</w:t>
            </w:r>
          </w:p>
        </w:tc>
        <w:tc>
          <w:tcPr>
            <w:tcW w:type="dxa" w:w="2160"/>
          </w:tcPr>
          <w:p>
            <w:r/>
            <w:r>
              <w:t>n/a</w:t>
            </w:r>
          </w:p>
        </w:tc>
      </w:tr>
      <w:tr>
        <w:tc>
          <w:tcPr>
            <w:tcW w:type="dxa" w:w="2160"/>
          </w:tcPr>
          <w:p>
            <w:r/>
            <w:r>
              <w:t>Layer 3b primary (divergence)</w:t>
            </w:r>
          </w:p>
        </w:tc>
        <w:tc>
          <w:tcPr>
            <w:tcW w:type="dxa" w:w="2160"/>
          </w:tcPr>
          <w:p>
            <w:r/>
            <w:r>
              <w:t>0/5 ECM sig up; pos control P = 0.0286</w:t>
            </w:r>
          </w:p>
        </w:tc>
        <w:tc>
          <w:tcPr>
            <w:tcW w:type="dxa" w:w="2160"/>
          </w:tcPr>
          <w:p>
            <w:r/>
            <w:r>
              <w:t>no divergence</w:t>
            </w:r>
          </w:p>
        </w:tc>
        <w:tc>
          <w:tcPr>
            <w:tcW w:type="dxa" w:w="2160"/>
          </w:tcPr>
          <w:p>
            <w:r/>
            <w:r>
              <w:t>primary FAIL</w:t>
            </w:r>
          </w:p>
        </w:tc>
      </w:tr>
      <w:tr>
        <w:tc>
          <w:tcPr>
            <w:tcW w:type="dxa" w:w="2160"/>
          </w:tcPr>
          <w:p>
            <w:r/>
            <w:r>
              <w:t>Layer 4 primary (positive characterisation)</w:t>
            </w:r>
          </w:p>
        </w:tc>
        <w:tc>
          <w:tcPr>
            <w:tcW w:type="dxa" w:w="2160"/>
          </w:tcPr>
          <w:p>
            <w:r/>
            <w:r>
              <w:t>8/15 345 genes sig up; ECM-union sig up = 0</w:t>
            </w:r>
          </w:p>
        </w:tc>
        <w:tc>
          <w:tcPr>
            <w:tcW w:type="dxa" w:w="2160"/>
          </w:tcPr>
          <w:p>
            <w:r/>
            <w:r>
              <w:t>ECM not dominant</w:t>
            </w:r>
          </w:p>
        </w:tc>
        <w:tc>
          <w:tcPr>
            <w:tcW w:type="dxa" w:w="2160"/>
          </w:tcPr>
          <w:p>
            <w:r/>
            <w:r>
              <w:t>primary FAIL</w:t>
            </w:r>
          </w:p>
        </w:tc>
      </w:tr>
    </w:tbl>
    <w:p>
      <w:r>
        <w:rPr>
          <w:b/>
          <w:i/>
          <w:sz w:val="20"/>
        </w:rPr>
        <w:t>Table 3. Layer-3 generality benchmark (specificity index, SI_g).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720"/>
          </w:tcPr>
          <w:p>
            <w:r>
              <w:rPr>
                <w:b/>
              </w:rPr>
            </w:r>
            <w:r>
              <w:rPr>
                <w:b/>
              </w:rPr>
              <w:t>Gene set</w:t>
            </w:r>
          </w:p>
        </w:tc>
        <w:tc>
          <w:tcPr>
            <w:tcW w:type="dxa" w:w="720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720"/>
          </w:tcPr>
          <w:p>
            <w:r>
              <w:rPr>
                <w:b/>
              </w:rPr>
            </w:r>
            <w:r>
              <w:rPr>
                <w:b/>
              </w:rPr>
              <w:t>MRU target (DRG, SNI)</w:t>
            </w:r>
          </w:p>
        </w:tc>
        <w:tc>
          <w:tcPr>
            <w:tcW w:type="dxa" w:w="720"/>
          </w:tcPr>
          <w:p>
            <w:r>
              <w:rPr>
                <w:b/>
              </w:rPr>
            </w:r>
            <w:r>
              <w:rPr>
                <w:b/>
              </w:rPr>
              <w:t>MRU blood (BLD, SNI)</w:t>
            </w:r>
          </w:p>
        </w:tc>
        <w:tc>
          <w:tcPr>
            <w:tcW w:type="dxa" w:w="720"/>
          </w:tcPr>
          <w:p>
            <w:r>
              <w:rPr>
                <w:b/>
              </w:rPr>
            </w:r>
            <w:r>
              <w:rPr>
                <w:b/>
              </w:rPr>
              <w:t>\</w:t>
            </w:r>
          </w:p>
        </w:tc>
        <w:tc>
          <w:tcPr>
            <w:tcW w:type="dxa" w:w="720"/>
          </w:tcPr>
          <w:p>
            <w:r>
              <w:rPr>
                <w:b/>
              </w:rPr>
            </w:r>
            <w:r>
              <w:rPr>
                <w:b/>
              </w:rPr>
              <w:t>ΔDRG−0.5\</w:t>
            </w:r>
          </w:p>
        </w:tc>
        <w:tc>
          <w:tcPr>
            <w:tcW w:type="dxa" w:w="720"/>
          </w:tcPr>
          <w:p>
            <w:r>
              <w:rPr>
                <w:b/>
              </w:rPr>
            </w:r>
          </w:p>
        </w:tc>
        <w:tc>
          <w:tcPr>
            <w:tcW w:type="dxa" w:w="720"/>
          </w:tcPr>
          <w:p>
            <w:r>
              <w:rPr>
                <w:b/>
              </w:rPr>
            </w:r>
            <w:r>
              <w:rPr>
                <w:b/>
              </w:rPr>
              <w:t>\</w:t>
            </w:r>
          </w:p>
        </w:tc>
        <w:tc>
          <w:tcPr>
            <w:tcW w:type="dxa" w:w="720"/>
          </w:tcPr>
          <w:p>
            <w:r>
              <w:rPr>
                <w:b/>
              </w:rPr>
            </w:r>
            <w:r>
              <w:rPr>
                <w:b/>
              </w:rPr>
              <w:t>ΔBLD−0.5\</w:t>
            </w:r>
          </w:p>
        </w:tc>
        <w:tc>
          <w:tcPr>
            <w:tcW w:type="dxa" w:w="720"/>
          </w:tcPr>
          <w:p>
            <w:r>
              <w:rPr>
                <w:b/>
              </w:rPr>
            </w:r>
          </w:p>
        </w:tc>
        <w:tc>
          <w:tcPr>
            <w:tcW w:type="dxa" w:w="720"/>
          </w:tcPr>
          <w:p>
            <w:r>
              <w:rPr>
                <w:b/>
              </w:rPr>
            </w:r>
            <w:r>
              <w:rPr>
                <w:b/>
              </w:rPr>
              <w:t>SI_g</w:t>
            </w:r>
          </w:p>
        </w:tc>
        <w:tc>
          <w:tcPr>
            <w:tcW w:type="dxa" w:w="720"/>
          </w:tcPr>
          <w:p>
            <w:r>
              <w:rPr>
                <w:b/>
              </w:rPr>
            </w:r>
            <w:r>
              <w:rPr>
                <w:b/>
              </w:rPr>
              <w:t>Specificity failed?</w:t>
            </w:r>
          </w:p>
        </w:tc>
      </w:tr>
      <w:tr>
        <w:tc>
          <w:tcPr>
            <w:tcW w:type="dxa" w:w="720"/>
          </w:tcPr>
          <w:p>
            <w:r/>
            <w:r>
              <w:t>G1 core matrisome</w:t>
            </w:r>
          </w:p>
        </w:tc>
        <w:tc>
          <w:tcPr>
            <w:tcW w:type="dxa" w:w="720"/>
          </w:tcPr>
          <w:p>
            <w:r/>
            <w:r>
              <w:t>Naba 2016 [5]</w:t>
            </w:r>
          </w:p>
        </w:tc>
        <w:tc>
          <w:tcPr>
            <w:tcW w:type="dxa" w:w="720"/>
          </w:tcPr>
          <w:p>
            <w:r/>
            <w:r>
              <w:t>0.9056</w:t>
            </w:r>
          </w:p>
        </w:tc>
        <w:tc>
          <w:tcPr>
            <w:tcW w:type="dxa" w:w="720"/>
          </w:tcPr>
          <w:p>
            <w:r/>
            <w:r>
              <w:t>0.5106</w:t>
            </w:r>
          </w:p>
        </w:tc>
        <w:tc>
          <w:tcPr>
            <w:tcW w:type="dxa" w:w="720"/>
          </w:tcPr>
          <w:p>
            <w:r/>
            <w:r>
              <w:t>0.4056</w:t>
            </w:r>
          </w:p>
        </w:tc>
        <w:tc>
          <w:tcPr>
            <w:tcW w:type="dxa" w:w="720"/>
          </w:tcPr>
          <w:p>
            <w:r/>
            <w:r>
              <w:t>0.0106</w:t>
            </w:r>
          </w:p>
        </w:tc>
        <w:tc>
          <w:tcPr>
            <w:tcW w:type="dxa" w:w="720"/>
          </w:tcPr>
          <w:p>
            <w:r/>
            <w:r>
              <w:t>38.4</w:t>
            </w:r>
          </w:p>
        </w:tc>
        <w:tc>
          <w:tcPr>
            <w:tcW w:type="dxa" w:w="720"/>
          </w:tcPr>
          <w:p>
            <w:r/>
            <w:r>
              <w:t>No</w:t>
            </w:r>
          </w:p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</w:tr>
      <w:tr>
        <w:tc>
          <w:tcPr>
            <w:tcW w:type="dxa" w:w="720"/>
          </w:tcPr>
          <w:p>
            <w:r/>
            <w:r>
              <w:t>G2 YAP/TAZ canonical targets</w:t>
            </w:r>
          </w:p>
        </w:tc>
        <w:tc>
          <w:tcPr>
            <w:tcW w:type="dxa" w:w="720"/>
          </w:tcPr>
          <w:p>
            <w:r/>
            <w:r>
              <w:t>Zhao 2008 [9]</w:t>
            </w:r>
          </w:p>
        </w:tc>
        <w:tc>
          <w:tcPr>
            <w:tcW w:type="dxa" w:w="720"/>
          </w:tcPr>
          <w:p>
            <w:r/>
            <w:r>
              <w:t>0.6180</w:t>
            </w:r>
          </w:p>
        </w:tc>
        <w:tc>
          <w:tcPr>
            <w:tcW w:type="dxa" w:w="720"/>
          </w:tcPr>
          <w:p>
            <w:r/>
            <w:r>
              <w:t>0.7681</w:t>
            </w:r>
          </w:p>
        </w:tc>
        <w:tc>
          <w:tcPr>
            <w:tcW w:type="dxa" w:w="720"/>
          </w:tcPr>
          <w:p>
            <w:r/>
            <w:r>
              <w:t>0.1180</w:t>
            </w:r>
          </w:p>
        </w:tc>
        <w:tc>
          <w:tcPr>
            <w:tcW w:type="dxa" w:w="720"/>
          </w:tcPr>
          <w:p>
            <w:r/>
            <w:r>
              <w:t>0.2681</w:t>
            </w:r>
          </w:p>
        </w:tc>
        <w:tc>
          <w:tcPr>
            <w:tcW w:type="dxa" w:w="720"/>
          </w:tcPr>
          <w:p>
            <w:r/>
            <w:r>
              <w:t>0.44</w:t>
            </w:r>
          </w:p>
        </w:tc>
        <w:tc>
          <w:tcPr>
            <w:tcW w:type="dxa" w:w="720"/>
          </w:tcPr>
          <w:p>
            <w:r/>
            <w:r>
              <w:t>Yes</w:t>
            </w:r>
          </w:p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</w:tr>
      <w:tr>
        <w:tc>
          <w:tcPr>
            <w:tcW w:type="dxa" w:w="720"/>
          </w:tcPr>
          <w:p>
            <w:r/>
            <w:r>
              <w:t>G3 mechanosensing adhesome</w:t>
            </w:r>
          </w:p>
        </w:tc>
        <w:tc>
          <w:tcPr>
            <w:tcW w:type="dxa" w:w="720"/>
          </w:tcPr>
          <w:p>
            <w:r/>
            <w:r>
              <w:t>Coste 2010 [6]</w:t>
            </w:r>
          </w:p>
        </w:tc>
        <w:tc>
          <w:tcPr>
            <w:tcW w:type="dxa" w:w="720"/>
          </w:tcPr>
          <w:p>
            <w:r/>
            <w:r>
              <w:t>0.8040</w:t>
            </w:r>
          </w:p>
        </w:tc>
        <w:tc>
          <w:tcPr>
            <w:tcW w:type="dxa" w:w="720"/>
          </w:tcPr>
          <w:p>
            <w:r/>
            <w:r>
              <w:t>0.7114</w:t>
            </w:r>
          </w:p>
        </w:tc>
        <w:tc>
          <w:tcPr>
            <w:tcW w:type="dxa" w:w="720"/>
          </w:tcPr>
          <w:p>
            <w:r/>
            <w:r>
              <w:t>0.3040</w:t>
            </w:r>
          </w:p>
        </w:tc>
        <w:tc>
          <w:tcPr>
            <w:tcW w:type="dxa" w:w="720"/>
          </w:tcPr>
          <w:p>
            <w:r/>
            <w:r>
              <w:t>0.2114</w:t>
            </w:r>
          </w:p>
        </w:tc>
        <w:tc>
          <w:tcPr>
            <w:tcW w:type="dxa" w:w="720"/>
          </w:tcPr>
          <w:p>
            <w:r/>
            <w:r>
              <w:t>1.44</w:t>
            </w:r>
          </w:p>
        </w:tc>
        <w:tc>
          <w:tcPr>
            <w:tcW w:type="dxa" w:w="720"/>
          </w:tcPr>
          <w:p>
            <w:r/>
            <w:r>
              <w:t>No</w:t>
            </w:r>
          </w:p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</w:tr>
      <w:tr>
        <w:tc>
          <w:tcPr>
            <w:tcW w:type="dxa" w:w="720"/>
          </w:tcPr>
          <w:p>
            <w:r/>
            <w:r>
              <w:t>G4 actin/Rho/ROCK</w:t>
            </w:r>
          </w:p>
        </w:tc>
        <w:tc>
          <w:tcPr>
            <w:tcW w:type="dxa" w:w="720"/>
          </w:tcPr>
          <w:p>
            <w:r/>
            <w:r>
              <w:t>Guan 2023 [10]</w:t>
            </w:r>
          </w:p>
        </w:tc>
        <w:tc>
          <w:tcPr>
            <w:tcW w:type="dxa" w:w="720"/>
          </w:tcPr>
          <w:p>
            <w:r/>
            <w:r>
              <w:t>0.7224</w:t>
            </w:r>
          </w:p>
        </w:tc>
        <w:tc>
          <w:tcPr>
            <w:tcW w:type="dxa" w:w="720"/>
          </w:tcPr>
          <w:p>
            <w:r/>
            <w:r>
              <w:t>0.4991</w:t>
            </w:r>
          </w:p>
        </w:tc>
        <w:tc>
          <w:tcPr>
            <w:tcW w:type="dxa" w:w="720"/>
          </w:tcPr>
          <w:p>
            <w:r/>
            <w:r>
              <w:t>0.2224</w:t>
            </w:r>
          </w:p>
        </w:tc>
        <w:tc>
          <w:tcPr>
            <w:tcW w:type="dxa" w:w="720"/>
          </w:tcPr>
          <w:p>
            <w:r/>
            <w:r>
              <w:t>0.0009</w:t>
            </w:r>
          </w:p>
        </w:tc>
        <w:tc>
          <w:tcPr>
            <w:tcW w:type="dxa" w:w="720"/>
          </w:tcPr>
          <w:p>
            <w:r/>
            <w:r>
              <w:t>240.5</w:t>
            </w:r>
          </w:p>
        </w:tc>
        <w:tc>
          <w:tcPr>
            <w:tcW w:type="dxa" w:w="720"/>
          </w:tcPr>
          <w:p>
            <w:r/>
            <w:r>
              <w:t>No</w:t>
            </w:r>
          </w:p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</w:tr>
      <w:tr>
        <w:tc>
          <w:tcPr>
            <w:tcW w:type="dxa" w:w="720"/>
          </w:tcPr>
          <w:p>
            <w:r/>
            <w:r>
              <w:t>G5 ECM remodelling/fibrosis</w:t>
            </w:r>
          </w:p>
        </w:tc>
        <w:tc>
          <w:tcPr>
            <w:tcW w:type="dxa" w:w="720"/>
          </w:tcPr>
          <w:p>
            <w:r/>
            <w:r>
              <w:t>Wynn 2008 [7] / Henderson 2020 [8]</w:t>
            </w:r>
          </w:p>
        </w:tc>
        <w:tc>
          <w:tcPr>
            <w:tcW w:type="dxa" w:w="720"/>
          </w:tcPr>
          <w:p>
            <w:r/>
            <w:r>
              <w:t>0.8857</w:t>
            </w:r>
          </w:p>
        </w:tc>
        <w:tc>
          <w:tcPr>
            <w:tcW w:type="dxa" w:w="720"/>
          </w:tcPr>
          <w:p>
            <w:r/>
            <w:r>
              <w:t>0.4574</w:t>
            </w:r>
          </w:p>
        </w:tc>
        <w:tc>
          <w:tcPr>
            <w:tcW w:type="dxa" w:w="720"/>
          </w:tcPr>
          <w:p>
            <w:r/>
            <w:r>
              <w:t>0.3857</w:t>
            </w:r>
          </w:p>
        </w:tc>
        <w:tc>
          <w:tcPr>
            <w:tcW w:type="dxa" w:w="720"/>
          </w:tcPr>
          <w:p>
            <w:r/>
            <w:r>
              <w:t>0.0426</w:t>
            </w:r>
          </w:p>
        </w:tc>
        <w:tc>
          <w:tcPr>
            <w:tcW w:type="dxa" w:w="720"/>
          </w:tcPr>
          <w:p>
            <w:r/>
            <w:r>
              <w:t>9.06</w:t>
            </w:r>
          </w:p>
        </w:tc>
        <w:tc>
          <w:tcPr>
            <w:tcW w:type="dxa" w:w="720"/>
          </w:tcPr>
          <w:p>
            <w:r/>
            <w:r>
              <w:t>No</w:t>
            </w:r>
          </w:p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</w:tr>
    </w:tbl>
    <w:p>
      <w:r>
        <w:rPr>
          <w:i/>
          <w:sz w:val="20"/>
        </w:rPr>
        <w:t>SI_g = |MRU(DRG,SNI)−0.5| / |MRU(BLD,SNI)−0.5|, computed from full-precision MRU; the \|Δ\| columns are rounded to 4 d.p. and will not exactly reproduce SI by division. SI is unstable when |ΔBLD−0.5| ≈ 0 (G4 denominator ≈ 0.0009); read the absolute shifts directly. Four of five sets show |ΔDRG−0.5| &gt; |ΔBLD−0.5| (all except G2), i.e., retain DRG-over-blood specificity.</w:t>
      </w:r>
    </w:p>
    <w:p>
      <w:r>
        <w:rPr>
          <w:b/>
          <w:i/>
          <w:sz w:val="20"/>
        </w:rPr>
        <w:t>Table 4. Layer-3b sample-level results (saline arm, 4 SNI vs 4 sham, exact permutation).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Gene set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n present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diff (SNI−sham)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P_exact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Hedges g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BH q</w:t>
            </w:r>
          </w:p>
        </w:tc>
      </w:tr>
      <w:tr>
        <w:tc>
          <w:tcPr>
            <w:tcW w:type="dxa" w:w="1440"/>
          </w:tcPr>
          <w:p>
            <w:r/>
            <w:r>
              <w:t>G1 core matrisome</w:t>
            </w:r>
          </w:p>
        </w:tc>
        <w:tc>
          <w:tcPr>
            <w:tcW w:type="dxa" w:w="1440"/>
          </w:tcPr>
          <w:p>
            <w:r/>
            <w:r>
              <w:t>62</w:t>
            </w:r>
          </w:p>
        </w:tc>
        <w:tc>
          <w:tcPr>
            <w:tcW w:type="dxa" w:w="1440"/>
          </w:tcPr>
          <w:p>
            <w:r/>
            <w:r>
              <w:t>+0.513</w:t>
            </w:r>
          </w:p>
        </w:tc>
        <w:tc>
          <w:tcPr>
            <w:tcW w:type="dxa" w:w="1440"/>
          </w:tcPr>
          <w:p>
            <w:r/>
            <w:r>
              <w:t>0.229</w:t>
            </w:r>
          </w:p>
        </w:tc>
        <w:tc>
          <w:tcPr>
            <w:tcW w:type="dxa" w:w="1440"/>
          </w:tcPr>
          <w:p>
            <w:r/>
            <w:r>
              <w:t>0.839</w:t>
            </w:r>
          </w:p>
        </w:tc>
        <w:tc>
          <w:tcPr>
            <w:tcW w:type="dxa" w:w="1440"/>
          </w:tcPr>
          <w:p>
            <w:r/>
            <w:r>
              <w:t>0.440</w:t>
            </w:r>
          </w:p>
        </w:tc>
      </w:tr>
      <w:tr>
        <w:tc>
          <w:tcPr>
            <w:tcW w:type="dxa" w:w="1440"/>
          </w:tcPr>
          <w:p>
            <w:r/>
            <w:r>
              <w:t>G2 YAP/TAZ canonical targets</w:t>
            </w:r>
          </w:p>
        </w:tc>
        <w:tc>
          <w:tcPr>
            <w:tcW w:type="dxa" w:w="1440"/>
          </w:tcPr>
          <w:p>
            <w:r/>
            <w:r>
              <w:t>12</w:t>
            </w:r>
          </w:p>
        </w:tc>
        <w:tc>
          <w:tcPr>
            <w:tcW w:type="dxa" w:w="1440"/>
          </w:tcPr>
          <w:p>
            <w:r/>
            <w:r>
              <w:t>+0.174</w:t>
            </w:r>
          </w:p>
        </w:tc>
        <w:tc>
          <w:tcPr>
            <w:tcW w:type="dxa" w:w="1440"/>
          </w:tcPr>
          <w:p>
            <w:r/>
            <w:r>
              <w:t>0.657</w:t>
            </w:r>
          </w:p>
        </w:tc>
        <w:tc>
          <w:tcPr>
            <w:tcW w:type="dxa" w:w="1440"/>
          </w:tcPr>
          <w:p>
            <w:r/>
            <w:r>
              <w:t>0.310</w:t>
            </w:r>
          </w:p>
        </w:tc>
        <w:tc>
          <w:tcPr>
            <w:tcW w:type="dxa" w:w="1440"/>
          </w:tcPr>
          <w:p>
            <w:r/>
            <w:r>
              <w:t>0.767</w:t>
            </w:r>
          </w:p>
        </w:tc>
      </w:tr>
      <w:tr>
        <w:tc>
          <w:tcPr>
            <w:tcW w:type="dxa" w:w="1440"/>
          </w:tcPr>
          <w:p>
            <w:r/>
            <w:r>
              <w:t>G3 mechanosensing adhesome</w:t>
            </w:r>
          </w:p>
        </w:tc>
        <w:tc>
          <w:tcPr>
            <w:tcW w:type="dxa" w:w="1440"/>
          </w:tcPr>
          <w:p>
            <w:r/>
            <w:r>
              <w:t>22</w:t>
            </w:r>
          </w:p>
        </w:tc>
        <w:tc>
          <w:tcPr>
            <w:tcW w:type="dxa" w:w="1440"/>
          </w:tcPr>
          <w:p>
            <w:r/>
            <w:r>
              <w:t>−0.277</w:t>
            </w:r>
          </w:p>
        </w:tc>
        <w:tc>
          <w:tcPr>
            <w:tcW w:type="dxa" w:w="1440"/>
          </w:tcPr>
          <w:p>
            <w:r/>
            <w:r>
              <w:t>0.286</w:t>
            </w:r>
          </w:p>
        </w:tc>
        <w:tc>
          <w:tcPr>
            <w:tcW w:type="dxa" w:w="1440"/>
          </w:tcPr>
          <w:p>
            <w:r/>
            <w:r>
              <w:t>−0.823</w:t>
            </w:r>
          </w:p>
        </w:tc>
        <w:tc>
          <w:tcPr>
            <w:tcW w:type="dxa" w:w="1440"/>
          </w:tcPr>
          <w:p>
            <w:r/>
            <w:r>
              <w:t>0.440</w:t>
            </w:r>
          </w:p>
        </w:tc>
      </w:tr>
      <w:tr>
        <w:tc>
          <w:tcPr>
            <w:tcW w:type="dxa" w:w="1440"/>
          </w:tcPr>
          <w:p>
            <w:r/>
            <w:r>
              <w:t>G4 actin/Rho/ROCK</w:t>
            </w:r>
          </w:p>
        </w:tc>
        <w:tc>
          <w:tcPr>
            <w:tcW w:type="dxa" w:w="1440"/>
          </w:tcPr>
          <w:p>
            <w:r/>
            <w:r>
              <w:t>20</w:t>
            </w:r>
          </w:p>
        </w:tc>
        <w:tc>
          <w:tcPr>
            <w:tcW w:type="dxa" w:w="1440"/>
          </w:tcPr>
          <w:p>
            <w:r/>
            <w:r>
              <w:t>+0.393</w:t>
            </w:r>
          </w:p>
        </w:tc>
        <w:tc>
          <w:tcPr>
            <w:tcW w:type="dxa" w:w="1440"/>
          </w:tcPr>
          <w:p>
            <w:r/>
            <w:r>
              <w:t>0.171</w:t>
            </w:r>
          </w:p>
        </w:tc>
        <w:tc>
          <w:tcPr>
            <w:tcW w:type="dxa" w:w="1440"/>
          </w:tcPr>
          <w:p>
            <w:r/>
            <w:r>
              <w:t>1.131</w:t>
            </w:r>
          </w:p>
        </w:tc>
        <w:tc>
          <w:tcPr>
            <w:tcW w:type="dxa" w:w="1440"/>
          </w:tcPr>
          <w:p>
            <w:r/>
            <w:r>
              <w:t>0.440</w:t>
            </w:r>
          </w:p>
        </w:tc>
      </w:tr>
      <w:tr>
        <w:tc>
          <w:tcPr>
            <w:tcW w:type="dxa" w:w="1440"/>
          </w:tcPr>
          <w:p>
            <w:r/>
            <w:r>
              <w:t>G5 ECM remodelling/fibrosis</w:t>
            </w:r>
          </w:p>
        </w:tc>
        <w:tc>
          <w:tcPr>
            <w:tcW w:type="dxa" w:w="1440"/>
          </w:tcPr>
          <w:p>
            <w:r/>
            <w:r>
              <w:t>21</w:t>
            </w:r>
          </w:p>
        </w:tc>
        <w:tc>
          <w:tcPr>
            <w:tcW w:type="dxa" w:w="1440"/>
          </w:tcPr>
          <w:p>
            <w:r/>
            <w:r>
              <w:t>+0.371</w:t>
            </w:r>
          </w:p>
        </w:tc>
        <w:tc>
          <w:tcPr>
            <w:tcW w:type="dxa" w:w="1440"/>
          </w:tcPr>
          <w:p>
            <w:r/>
            <w:r>
              <w:t>0.314</w:t>
            </w:r>
          </w:p>
        </w:tc>
        <w:tc>
          <w:tcPr>
            <w:tcW w:type="dxa" w:w="1440"/>
          </w:tcPr>
          <w:p>
            <w:r/>
            <w:r>
              <w:t>0.766</w:t>
            </w:r>
          </w:p>
        </w:tc>
        <w:tc>
          <w:tcPr>
            <w:tcW w:type="dxa" w:w="1440"/>
          </w:tcPr>
          <w:p>
            <w:r/>
            <w:r>
              <w:t>0.440</w:t>
            </w:r>
          </w:p>
        </w:tc>
      </w:tr>
      <w:tr>
        <w:tc>
          <w:tcPr>
            <w:tcW w:type="dxa" w:w="1440"/>
          </w:tcPr>
          <w:p>
            <w:r/>
            <w:r>
              <w:t>HD_up</w:t>
            </w:r>
          </w:p>
        </w:tc>
        <w:tc>
          <w:tcPr>
            <w:tcW w:type="dxa" w:w="1440"/>
          </w:tcPr>
          <w:p>
            <w:r/>
            <w:r>
              <w:t>11</w:t>
            </w:r>
          </w:p>
        </w:tc>
        <w:tc>
          <w:tcPr>
            <w:tcW w:type="dxa" w:w="1440"/>
          </w:tcPr>
          <w:p>
            <w:r/>
            <w:r>
              <w:t>+0.146</w:t>
            </w:r>
          </w:p>
        </w:tc>
        <w:tc>
          <w:tcPr>
            <w:tcW w:type="dxa" w:w="1440"/>
          </w:tcPr>
          <w:p>
            <w:r/>
            <w:r>
              <w:t>0.800</w:t>
            </w:r>
          </w:p>
        </w:tc>
        <w:tc>
          <w:tcPr>
            <w:tcW w:type="dxa" w:w="1440"/>
          </w:tcPr>
          <w:p>
            <w:r/>
            <w:r>
              <w:t>0.219</w:t>
            </w:r>
          </w:p>
        </w:tc>
        <w:tc>
          <w:tcPr>
            <w:tcW w:type="dxa" w:w="1440"/>
          </w:tcPr>
          <w:p>
            <w:r/>
            <w:r>
              <w:t>0.800</w:t>
            </w:r>
          </w:p>
        </w:tc>
      </w:tr>
      <w:tr>
        <w:tc>
          <w:tcPr>
            <w:tcW w:type="dxa" w:w="1440"/>
          </w:tcPr>
          <w:p>
            <w:r/>
            <w:r>
              <w:t>Positive control (injury)</w:t>
            </w:r>
          </w:p>
        </w:tc>
        <w:tc>
          <w:tcPr>
            <w:tcW w:type="dxa" w:w="1440"/>
          </w:tcPr>
          <w:p>
            <w:r/>
            <w:r>
              <w:t>12</w:t>
            </w:r>
          </w:p>
        </w:tc>
        <w:tc>
          <w:tcPr>
            <w:tcW w:type="dxa" w:w="1440"/>
          </w:tcPr>
          <w:p>
            <w:r/>
            <w:r>
              <w:t>+1.285</w:t>
            </w:r>
          </w:p>
        </w:tc>
        <w:tc>
          <w:tcPr>
            <w:tcW w:type="dxa" w:w="1440"/>
          </w:tcPr>
          <w:p>
            <w:r/>
            <w:r>
              <w:t>0.0286</w:t>
            </w:r>
          </w:p>
        </w:tc>
        <w:tc>
          <w:tcPr>
            <w:tcW w:type="dxa" w:w="1440"/>
          </w:tcPr>
          <w:p>
            <w:r/>
            <w:r>
              <w:t>3.853</w:t>
            </w:r>
          </w:p>
        </w:tc>
        <w:tc>
          <w:tcPr>
            <w:tcW w:type="dxa" w:w="1440"/>
          </w:tcPr>
          <w:p>
            <w:r/>
            <w:r>
              <w:t>0.200</w:t>
            </w:r>
          </w:p>
        </w:tc>
      </w:tr>
    </w:tbl>
    <w:p>
      <w:r>
        <w:rPr>
          <w:i/>
          <w:sz w:val="20"/>
        </w:rPr>
        <w:t>The HD_up and positive-control rows reproduce the Stage B results (identical GSE261676 computation); they are repeated here only to position the ECM sets against the sensitivity-validated anchors and are not independent tests.</w:t>
      </w:r>
    </w:p>
    <w:p>
      <w:r>
        <w:rPr>
          <w:b/>
          <w:sz w:val="26"/>
        </w:rPr>
        <w:t>References</w:t>
      </w:r>
    </w:p>
    <w:p>
      <w:r>
        <w:t xml:space="preserve">1. Meng Z, Qiu Y, Lin KC, et al. RAP2 mediates mechanoresponses of the Hippo pathway. </w:t>
      </w:r>
      <w:r>
        <w:rPr>
          <w:i/>
        </w:rPr>
        <w:t>Nature</w:t>
      </w:r>
      <w:r>
        <w:t>. 2018;560(7720):655–660. PMID: 30135582. DOI: 10.1038/s41586-018-0444-0.</w:t>
      </w:r>
    </w:p>
    <w:p>
      <w:r>
        <w:t xml:space="preserve">2. Parisien M, Samoshkin A, Tansley SN, et al. Genetic pathway analysis reveals a major role for extracellular matrix organization in inflammatory and neuropathic pain. </w:t>
      </w:r>
      <w:r>
        <w:rPr>
          <w:i/>
        </w:rPr>
        <w:t>Pain</w:t>
      </w:r>
      <w:r>
        <w:t>. 2019;160(4):932–944. PMID: 30763288. DOI: 10.1097/j.pain.0000000000001471.</w:t>
      </w:r>
    </w:p>
    <w:p>
      <w:r>
        <w:t xml:space="preserve">3. Serafini RA, Ramakrishnan A, Shen L, Zachariou V. Desipramine induces anti-inflammatory dorsal root ganglion transcriptional signatures in the murine spared nerve injury model. </w:t>
      </w:r>
      <w:r>
        <w:rPr>
          <w:i/>
        </w:rPr>
        <w:t>Neurobiol Pain</w:t>
      </w:r>
      <w:r>
        <w:t>. 2024;15:100153. PMID: 38549875. DOI: 10.1016/j.ynpai.2024.100153.</w:t>
      </w:r>
    </w:p>
    <w:p>
      <w:r>
        <w:t xml:space="preserve">4. Dupont S, Morsut L, Aragona M, et al. Role of YAP/TAZ in mechanotransduction. </w:t>
      </w:r>
      <w:r>
        <w:rPr>
          <w:i/>
        </w:rPr>
        <w:t>Nature</w:t>
      </w:r>
      <w:r>
        <w:t>. 2011;474(7350):179–183. PMID: 21654799. DOI: 10.1038/nature10137.</w:t>
      </w:r>
    </w:p>
    <w:p>
      <w:r>
        <w:t xml:space="preserve">5. Naba A, Clauser KR, Ding H, Whittaker CA, Carr SA, Hynes RO. The extracellular matrix: Tools and insights for the "omics" era. </w:t>
      </w:r>
      <w:r>
        <w:rPr>
          <w:i/>
        </w:rPr>
        <w:t>Matrix Biol</w:t>
      </w:r>
      <w:r>
        <w:t>. 2016;49:10–24. PMID: 26163349. DOI: 10.1016/j.matbio.2015.06.003.</w:t>
      </w:r>
    </w:p>
    <w:p>
      <w:r>
        <w:t xml:space="preserve">6. Coste B, Mathur J, Schmidt M, et al. Piezo1 and Piezo2 are essential components of distinct mechanically activated cation channels. </w:t>
      </w:r>
      <w:r>
        <w:rPr>
          <w:i/>
        </w:rPr>
        <w:t>Science</w:t>
      </w:r>
      <w:r>
        <w:t>. 2010;330(6000):55–60. PMID: 20813920. DOI: 10.1126/science.1193270.</w:t>
      </w:r>
    </w:p>
    <w:p>
      <w:r>
        <w:t xml:space="preserve">7. Wynn TA. Cellular and molecular mechanisms of fibrosis. </w:t>
      </w:r>
      <w:r>
        <w:rPr>
          <w:i/>
        </w:rPr>
        <w:t>J Pathol</w:t>
      </w:r>
      <w:r>
        <w:t>. 2008;214(2):199–210. PMID: 18161745. DOI: 10.1002/path.2277.</w:t>
      </w:r>
    </w:p>
    <w:p>
      <w:r>
        <w:t xml:space="preserve">8. Henderson NC, Rieder F, Wynn TA. Fibrosis: from mechanisms to medicines. </w:t>
      </w:r>
      <w:r>
        <w:rPr>
          <w:i/>
        </w:rPr>
        <w:t>Nature</w:t>
      </w:r>
      <w:r>
        <w:t>. 2020;587(7835):555–566. PMID: 33239795. DOI: 10.1038/s41586-020-2938-9.</w:t>
      </w:r>
    </w:p>
    <w:p>
      <w:r>
        <w:t xml:space="preserve">9. Zhao B, Ye X, Yu J, et al. TEAD mediates YAP-dependent gene induction and growth control. </w:t>
      </w:r>
      <w:r>
        <w:rPr>
          <w:i/>
        </w:rPr>
        <w:t>Genes Dev</w:t>
      </w:r>
      <w:r>
        <w:t>. 2008;22(14):1962–1971. PMID: 18579750. DOI: 10.1101/gad.1664408.</w:t>
      </w:r>
    </w:p>
    <w:p>
      <w:r>
        <w:t xml:space="preserve">10. Guan G, Cannon RD, Coates DE, Mei L. Effect of the Rho-Kinase/ROCK Signaling Pathway on Cytoskeleton Components. </w:t>
      </w:r>
      <w:r>
        <w:rPr>
          <w:i/>
        </w:rPr>
        <w:t>Genes (Basel)</w:t>
      </w:r>
      <w:r>
        <w:t>. 2023;14(2):272. PMID: 36833199. DOI: 10.3390/genes14020272.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