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programs in an immortalized human sensory-neuron line (HD10.6): a prospectively specified reanalysis of GSE342782</w:t>
      </w:r>
    </w:p>
    <w:p>
      <w:r>
        <w:rPr>
          <w:rFonts w:ascii="Times New Roman" w:hAnsi="Times New Roman"/>
          <w:b/>
          <w:i w:val="0"/>
          <w:sz w:val="24"/>
        </w:rPr>
        <w:t>Yongxin Yang, B.M.</w:t>
      </w:r>
    </w:p>
    <w:p>
      <w:pPr>
        <w:spacing w:line="480" w:lineRule="auto"/>
      </w:pPr>
      <w:r>
        <w:rPr>
          <w:rFonts w:ascii="Times New Roman" w:hAnsi="Times New Roman"/>
          <w:sz w:val="24"/>
        </w:rPr>
        <w:t>Department of Anesthesiology, The Second Affiliated Hospital of Fujian University of Traditional Chinese Medicine, No. 282 Wusi Road, Fuzhou, Fujian 350003, China</w:t>
      </w:r>
    </w:p>
    <w:p>
      <w:pPr>
        <w:spacing w:line="480" w:lineRule="auto"/>
      </w:pPr>
      <w:r>
        <w:rPr>
          <w:rFonts w:ascii="Times New Roman" w:hAnsi="Times New Roman"/>
          <w:sz w:val="24"/>
        </w:rPr>
        <w:t>Correspondence: Yongxin Yang | 960856791@qq.com | ORCID: 0009-0004-9698-6552</w:t>
      </w:r>
    </w:p>
    <w:p>
      <w:pPr>
        <w:spacing w:line="480" w:lineRule="auto"/>
      </w:pPr>
      <w:r>
        <w:rPr>
          <w:rFonts w:ascii="Times New Roman" w:hAnsi="Times New Roman"/>
          <w:sz w:val="24"/>
        </w:rPr>
        <w:t>Telephone: +86-591-8787-8130 (institutional switchboard) | Fax: not available (institution publishes no fax line)</w:t>
      </w:r>
    </w:p>
    <w:p>
      <w:pPr>
        <w:spacing w:line="480" w:lineRule="auto"/>
      </w:pPr>
      <w:r>
        <w:rPr>
          <w:rFonts w:ascii="Times New Roman" w:hAnsi="Times New Roman"/>
          <w:sz w:val="24"/>
        </w:rPr>
        <w:t>Running title: Route-dependent channel programs in VZV-exposed sensory neurons</w:t>
      </w:r>
    </w:p>
    <w:p>
      <w:r>
        <w:rPr>
          <w:rFonts w:ascii="Times New Roman" w:hAnsi="Times New Roman"/>
          <w:b/>
          <w:i w:val="0"/>
          <w:sz w:val="25"/>
        </w:rPr>
        <w:t>Abstract</w:t>
      </w:r>
    </w:p>
    <w:p>
      <w:pPr>
        <w:spacing w:line="480" w:lineRule="auto"/>
      </w:pPr>
      <w:r>
        <w:rPr>
          <w:rFonts w:ascii="Times New Roman" w:hAnsi="Times New Roman"/>
          <w:b/>
          <w:sz w:val="24"/>
        </w:rPr>
        <w:t>Background.</w:t>
      </w:r>
      <w:r>
        <w:rPr>
          <w:rFonts w:ascii="Times New Roman" w:hAnsi="Times New Roman"/>
          <w:sz w:val="24"/>
        </w:rPr>
        <w:t xml:space="preserve"> Mechanical allodynia is a common, clinically prominent feature of postherpetic neuralgia (PHN), yet mechanotransduction is rarely examined in PHN transcriptomics. GSE342782 (RNA-sequencing of an immortalized human sensory-neuron line (HD10.6) exposed to varicella-zoster virus (VZV) or serum exosomes from controls, acute herpes zoster (HZ) and PHN patients) permits a test.</w:t>
      </w:r>
    </w:p>
    <w:p>
      <w:pPr>
        <w:spacing w:line="480" w:lineRule="auto"/>
      </w:pPr>
      <w:r>
        <w:rPr>
          <w:rFonts w:ascii="Times New Roman" w:hAnsi="Times New Roman"/>
          <w:b/>
          <w:sz w:val="24"/>
        </w:rPr>
        <w:t>Methods.</w:t>
      </w:r>
      <w:r>
        <w:rPr>
          <w:rFonts w:ascii="Times New Roman" w:hAnsi="Times New Roman"/>
          <w:sz w:val="24"/>
        </w:rPr>
        <w:t xml:space="preserve"> We froze a four-module mechanotransduction panel (M1-M4), an electrochemical nociceptor module (E1) and three neutral controls. The single primary endpoint was the M3 (ECM-integrin-Hippo) difference between HZ and control exosomes. Inference used Welch t and exact label-permutation nulls with Benjamini-Hochberg correction.</w:t>
      </w:r>
    </w:p>
    <w:p>
      <w:pPr>
        <w:spacing w:line="480" w:lineRule="auto"/>
      </w:pPr>
      <w:r>
        <w:rPr>
          <w:rFonts w:ascii="Times New Roman" w:hAnsi="Times New Roman"/>
          <w:b/>
          <w:sz w:val="24"/>
        </w:rPr>
        <w:t>Results.</w:t>
      </w:r>
      <w:r>
        <w:rPr>
          <w:rFonts w:ascii="Times New Roman" w:hAnsi="Times New Roman"/>
          <w:sz w:val="24"/>
        </w:rPr>
        <w:t xml:space="preserve"> M3 did not shift under HZ-serum exosomes (-0.049 log2CPM; P = 0.42; minimum detectable effect 0.18 log2CPM), a bounded null. HZ-serum exosomes suppressed the nociceptor module (E1, -0.220 log2CPM; P = 0.013; q = 0.034), led by TRPV1, the only gene surviving within-E1 correction (q = 0.017); KCNS1, SCN9A, ASIC1 and ASIC2 were only nominally down. M1 was resolution-limited (P = 0.11; detected-gene subset P = 0.046); E1 was not separable from neutral control N1 (E1 - N1 = -0.064, P = 0.18). A route-by-program difference-in-differences supports route dependence (-0.193; P = 0.0011); a post hoc E1-M1 interaction (-0.142; P = 0.0017) shrank among detected genes (-0.072; P = 0.16). The exploratory PHN-exosome contrast was non-specific and donor-confounded.</w:t>
      </w:r>
    </w:p>
    <w:p>
      <w:pPr>
        <w:spacing w:line="480" w:lineRule="auto"/>
      </w:pPr>
      <w:r>
        <w:rPr>
          <w:rFonts w:ascii="Times New Roman" w:hAnsi="Times New Roman"/>
          <w:b/>
          <w:sz w:val="24"/>
        </w:rPr>
        <w:t>Conclusions.</w:t>
      </w:r>
      <w:r>
        <w:rPr>
          <w:rFonts w:ascii="Times New Roman" w:hAnsi="Times New Roman"/>
          <w:sz w:val="24"/>
        </w:rPr>
        <w:t xml:space="preserve"> In this 36-h exposure of an immortalized embryonic dorsal-root-ganglion line, HZ-serum exosomes suppressed the electrogenic nociceptor module, whereas direct VZV infection produced no module-level E1 shift and a lesser TRPV1 decrease; the ECM-Hippo stiffness program showed no detectable response within a bounded null. Relevance to PHN allodynia is hypothesis-generating, not evidence of mechanism in patients.</w:t>
      </w:r>
    </w:p>
    <w:p>
      <w:pPr>
        <w:spacing w:line="480" w:lineRule="auto"/>
      </w:pPr>
      <w:r>
        <w:rPr>
          <w:rFonts w:ascii="Times New Roman" w:hAnsi="Times New Roman"/>
          <w:b/>
          <w:sz w:val="24"/>
        </w:rPr>
        <w:t>Registration.</w:t>
      </w:r>
      <w:r>
        <w:rPr>
          <w:rFonts w:ascii="Times New Roman" w:hAnsi="Times New Roman"/>
          <w:sz w:val="24"/>
        </w:rPr>
        <w:t xml:space="preserve"> Protocol v0.4 and frozen panel `mtp-frozen-2026-10-19` were committed to the public repository before data examination; no external registry entry.</w:t>
      </w:r>
    </w:p>
    <w:p>
      <w:pPr>
        <w:spacing w:line="480" w:lineRule="auto"/>
      </w:pPr>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pPr>
        <w:spacing w:line="480" w:lineRule="auto"/>
      </w:pPr>
      <w:r>
        <w:rPr>
          <w:rFonts w:ascii="Times New Roman" w:hAnsi="Times New Roman"/>
          <w:sz w:val="24"/>
        </w:rPr>
        <w:t>Postherpetic neuralgia (PHN) is defined as dermatomal pain persisting at least 90 days after the onset of the acute herpes zoster rash, and is clinically characterized in many patients by mechanical allodynia (innocuous cutaneous stimuli transduced as pain), which motivates the focus on mechanotransduction in this reanalysis.</w:t>
      </w:r>
      <w:r>
        <w:rPr>
          <w:rFonts w:ascii="Times New Roman" w:hAnsi="Times New Roman"/>
          <w:sz w:val="24"/>
          <w:vertAlign w:val="superscript"/>
        </w:rPr>
        <w:t>1,2</w:t>
      </w:r>
      <w:r>
        <w:rPr>
          <w:rFonts w:ascii="Times New Roman" w:hAnsi="Times New Roman"/>
          <w:sz w:val="24"/>
        </w:rPr>
        <w:t xml:space="preserve"> Mendelian-randomization analyses have begun to map the causal determinants of PHN risk.</w:t>
      </w:r>
      <w:r>
        <w:rPr>
          <w:rFonts w:ascii="Times New Roman" w:hAnsi="Times New Roman"/>
          <w:sz w:val="24"/>
          <w:vertAlign w:val="superscript"/>
        </w:rPr>
        <w:t>3</w:t>
      </w:r>
      <w:r>
        <w:rPr>
          <w:rFonts w:ascii="Times New Roman" w:hAnsi="Times New Roman"/>
          <w:sz w:val="24"/>
        </w:rPr>
        <w:t xml:space="preserve"> The symptom is, at its core, a disturbance of mechanotransduction, yet the genomic literature of PHN has seldom examined it through that lens. Published bioinformatic reanalyses of PHN cohorts have concentrated on interferon, immune, and inflammatory programs;</w:t>
      </w:r>
      <w:r>
        <w:rPr>
          <w:rFonts w:ascii="Times New Roman" w:hAnsi="Times New Roman"/>
          <w:sz w:val="24"/>
          <w:vertAlign w:val="superscript"/>
        </w:rPr>
        <w:t>4</w:t>
      </w:r>
      <w:r>
        <w:rPr>
          <w:rFonts w:ascii="Times New Roman" w:hAnsi="Times New Roman"/>
          <w:sz w:val="24"/>
        </w:rPr>
        <w:t xml:space="preserve"> to our knowledge, no published reanalysis has systematically examined the mechanotransduction machinery (mechanogated ion channels, the membrane-cytoskeleton interface, or the extracellular-matrix (ECM)-integrin-Hippo axis) in PHN transcriptomic data.</w:t>
      </w:r>
    </w:p>
    <w:p>
      <w:pPr>
        <w:spacing w:line="480" w:lineRule="auto"/>
      </w:pPr>
      <w:r>
        <w:rPr>
          <w:rFonts w:ascii="Times New Roman" w:hAnsi="Times New Roman"/>
          <w:sz w:val="24"/>
        </w:rPr>
        <w:t>Two developments make such an examination timely. First, varicella-zoster virus (VZV) establishes latency in dorsal root and cranial nerve ganglia and reactivates to cause herpes zoster and PHN.</w:t>
      </w:r>
      <w:r>
        <w:rPr>
          <w:rFonts w:ascii="Times New Roman" w:hAnsi="Times New Roman"/>
          <w:sz w:val="24"/>
          <w:vertAlign w:val="superscript"/>
        </w:rPr>
        <w:t>5</w:t>
      </w:r>
      <w:r>
        <w:rPr>
          <w:rFonts w:ascii="Times New Roman" w:hAnsi="Times New Roman"/>
          <w:sz w:val="24"/>
        </w:rPr>
        <w:t xml:space="preserve">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w:t>
      </w:r>
      <w:r>
        <w:rPr>
          <w:rFonts w:ascii="Times New Roman" w:hAnsi="Times New Roman"/>
          <w:sz w:val="24"/>
          <w:vertAlign w:val="superscript"/>
        </w:rPr>
        <w:t>6</w:t>
      </w:r>
      <w:r>
        <w:rPr>
          <w:rFonts w:ascii="Times New Roman" w:hAnsi="Times New Roman"/>
          <w:sz w:val="24"/>
        </w:rPr>
        <w:t xml:space="preserve"> The original study reported down-regulation of canonical nociceptive ion channels, induction of substance-P-related neuropeptides, and ECM-remodeling signals, but did not examine these findings through a mechanotransduction lens. Second, extracorporeal shockwave therapy (ESWT), the deliberate application of controlled mechanical stress, has shown within-group benefit in small uncontrolled or single-blind studies</w:t>
      </w:r>
      <w:r>
        <w:rPr>
          <w:rFonts w:ascii="Times New Roman" w:hAnsi="Times New Roman"/>
          <w:sz w:val="24"/>
          <w:vertAlign w:val="superscript"/>
        </w:rPr>
        <w:t>7,8</w:t>
      </w:r>
      <w:r>
        <w:rPr>
          <w:rFonts w:ascii="Times New Roman" w:hAnsi="Times New Roman"/>
          <w:sz w:val="24"/>
        </w:rPr>
        <w:t xml:space="preserve"> and, in the largest randomized trial (n = 100), lower between-group numerical-rating-scale scores without a significant time-by-group interaction</w:t>
      </w:r>
      <w:r>
        <w:rPr>
          <w:rFonts w:ascii="Times New Roman" w:hAnsi="Times New Roman"/>
          <w:sz w:val="24"/>
          <w:vertAlign w:val="superscript"/>
        </w:rPr>
        <w:t>9</w:t>
      </w:r>
      <w:r>
        <w:rPr>
          <w:rFonts w:ascii="Times New Roman" w:hAnsi="Times New Roman"/>
          <w:sz w:val="24"/>
        </w:rPr>
        <w:t xml:space="preserve"> (protocol for that trial:</w:t>
      </w:r>
      <w:r>
        <w:rPr>
          <w:rFonts w:ascii="Times New Roman" w:hAnsi="Times New Roman"/>
          <w:sz w:val="24"/>
          <w:vertAlign w:val="superscript"/>
        </w:rPr>
        <w:t>10</w:t>
      </w:r>
      <w:r>
        <w:rPr>
          <w:rFonts w:ascii="Times New Roman" w:hAnsi="Times New Roman"/>
          <w:sz w:val="24"/>
        </w:rPr>
        <w:t>); its proposed mechanisms involve integrin-FAK-p38MAPK and Piezo1–FAK signaling in non-neuronal model systems,</w:t>
      </w:r>
      <w:r>
        <w:rPr>
          <w:rFonts w:ascii="Times New Roman" w:hAnsi="Times New Roman"/>
          <w:sz w:val="24"/>
          <w:vertAlign w:val="superscript"/>
        </w:rPr>
        <w:t>11,12</w:t>
      </w:r>
      <w:r>
        <w:rPr>
          <w:rFonts w:ascii="Times New Roman" w:hAnsi="Times New Roman"/>
          <w:sz w:val="24"/>
        </w:rPr>
        <w:t xml:space="preserve"> and none of these studies tested a YAP/TAZ or neuronal-channel mechanism in PHN, so any link to the present neuronal transcriptome is speculative. The mechanical axis is invoked at both the disease end (allodynia) and the treatment end (mechanotherapy) of PHN, yet no study has connected them transcriptomically, and the present data do not.</w:t>
      </w:r>
    </w:p>
    <w:p>
      <w:pPr>
        <w:spacing w:line="480" w:lineRule="auto"/>
      </w:pPr>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 (the hypothesized core of the mechanical axis) respond to any perturbation route? (iii) Do direct viral infection and exosome-mediated signaling converge on, or dissociate between, mechanogated versus electrochemical channel programs?</w:t>
      </w:r>
    </w:p>
    <w:p>
      <w:r>
        <w:rPr>
          <w:rFonts w:ascii="Times New Roman" w:hAnsi="Times New Roman"/>
          <w:b/>
          <w:i w:val="0"/>
          <w:sz w:val="25"/>
        </w:rPr>
        <w:t>2. Methods</w:t>
      </w:r>
    </w:p>
    <w:p>
      <w:r>
        <w:rPr>
          <w:rFonts w:ascii="Times New Roman" w:hAnsi="Times New Roman"/>
          <w:b/>
          <w:i w:val="0"/>
          <w:sz w:val="24"/>
        </w:rPr>
        <w:t>2.1 Data source and design</w:t>
      </w:r>
    </w:p>
    <w:p>
      <w:pPr>
        <w:spacing w:line="480" w:lineRule="auto"/>
      </w:pPr>
      <w:r>
        <w:rPr>
          <w:rFonts w:ascii="Times New Roman" w:hAnsi="Times New Roman"/>
          <w:sz w:val="24"/>
        </w:rPr>
        <w:t>GSE342782 (GEO accession GSE342782; BioProject PRJNA1508885) comprises two experiments in differentiated HD10.6 human sensory neurons.</w:t>
      </w:r>
      <w:r>
        <w:rPr>
          <w:rFonts w:ascii="Times New Roman" w:hAnsi="Times New Roman"/>
          <w:sz w:val="24"/>
          <w:vertAlign w:val="superscript"/>
        </w:rPr>
        <w:t>6</w:t>
      </w:r>
      <w:r>
        <w:rPr>
          <w:rFonts w:ascii="Times New Roman" w:hAnsi="Times New Roman"/>
          <w:sz w:val="24"/>
        </w:rPr>
        <w:t xml:space="preserve">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w:t>
      </w:r>
      <w:r>
        <w:rPr>
          <w:rFonts w:ascii="Times New Roman" w:hAnsi="Times New Roman"/>
          <w:sz w:val="24"/>
          <w:vertAlign w:val="superscript"/>
        </w:rPr>
        <w:t>13</w:t>
      </w:r>
      <w:r>
        <w:rPr>
          <w:rFonts w:ascii="Times New Roman" w:hAnsi="Times New Roman"/>
          <w:sz w:val="24"/>
        </w:rPr>
        <w:t xml:space="preserve"> Sample-to-group assignment used the column prefixes of the count matrices (C = control, P = PHN, S = acute zoster), which match the group sizes reported in the series metadata (7/5/7). Because this is a secondary analysis of publicly deposited data, reporting follows the items of STROBE applicable to analyses of existing datasets; items that depend on information absent from the public metadata (donor age, sex, and collection dates) are explicitly identified as unreportable.</w:t>
      </w:r>
    </w:p>
    <w:p>
      <w:r>
        <w:rPr>
          <w:rFonts w:ascii="Times New Roman" w:hAnsi="Times New Roman"/>
          <w:b/>
          <w:i w:val="0"/>
          <w:sz w:val="24"/>
        </w:rPr>
        <w:t>2.2 Prospectively specified analysis plan</w:t>
      </w:r>
    </w:p>
    <w:p>
      <w:pPr>
        <w:spacing w:line="480" w:lineRule="auto"/>
      </w:pPr>
      <w:r>
        <w:rPr>
          <w:rFonts w:ascii="Times New Roman" w:hAnsi="Times New Roman"/>
          <w:sz w:val="24"/>
        </w:rPr>
        <w:t>Before any expression data were examined, the following were fixed in writing and deposited in a versioned public protocol (protocol v0.4; panel tag `mtp-frozen-2026-10-19`):</w:t>
      </w:r>
    </w:p>
    <w:p>
      <w:pPr>
        <w:spacing w:line="480" w:lineRule="auto"/>
      </w:pPr>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M1 mechanogated channels (PIEZO1, PIEZO2, TRPV4, STOML3, KCNK2/4, TMEM150C, P2RX3, TRPA1; TRPA1 is included for completeness, as its direct mechanical gating is debated in the current literature and it is effectively undetected in this dataset), M2 membrane-cytoskeleton coupling (20 genes), M3 ECM-integrin-Hippo (58 genes) and M4 mechano-effectors (25 genes), plus E1, an electrochemical nociceptor module (SCN9A, SCN10A, SCN11A, TRPV1, TRPM8, ASIC1/2/3, and related genes, excluding M1 members), and three neutral controls: N1 voltage-gated channels, N2 olfactory receptors, N3 ribosomal proteins. The non-canonical E1 members (GRIA1, GRIA2, GRIN2B, P2RX7, CACNA1H) were retained because excitatory ionotropic glutamate and purinergic receptors are reported in human DRG neurons;</w:t>
      </w:r>
      <w:r>
        <w:rPr>
          <w:rFonts w:ascii="Times New Roman" w:hAnsi="Times New Roman"/>
          <w:sz w:val="24"/>
          <w:vertAlign w:val="superscript"/>
        </w:rPr>
        <w:t>14</w:t>
      </w:r>
      <w:r>
        <w:rPr>
          <w:rFonts w:ascii="Times New Roman" w:hAnsi="Times New Roman"/>
          <w:sz w:val="24"/>
        </w:rPr>
        <w:t xml:space="preserve"> a canonical-channel sensitivity analysis is reported in §3.3. Module coverage after matching against the count matrix: M1, M2, M4, E1 and N1 were fully represented (9/9, 20/20, 25/25, 18/18 and 17/17 genes respectively); M3 was represented by 56 of 58 genes (CYR61 and CTGF absent; the CCN1/CCN2 orthologs were present and used in an alias sensitivity analysis); N2 by 13 of 16 (OR6A1, OR10A1, OR13C1 absent); N3 by 17 of 18 (RPS4 absent; an RPS4X ortholog was present). PTK2 (FAK) appears in both M3 and M4 in the frozen panel; sensitivities excluding it are reported in §3.2.</w:t>
      </w:r>
    </w:p>
    <w:p>
      <w:pPr>
        <w:spacing w:line="480" w:lineRule="auto"/>
      </w:pPr>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pPr>
        <w:spacing w:line="480" w:lineRule="auto"/>
      </w:pPr>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w:t>
      </w:r>
      <w:r>
        <w:rPr>
          <w:rFonts w:ascii="Times New Roman" w:hAnsi="Times New Roman"/>
          <w:sz w:val="24"/>
          <w:vertAlign w:val="superscript"/>
        </w:rPr>
        <w:t>6</w:t>
      </w:r>
      <w:r>
        <w:rPr>
          <w:rFonts w:ascii="Times New Roman" w:hAnsi="Times New Roman"/>
          <w:sz w:val="24"/>
        </w:rPr>
        <w:t xml:space="preserve"> the PHN contrast was pre-designated exploratory and the HZ-versus-control contrast was designated the primary comparison.</w:t>
      </w:r>
    </w:p>
    <w:p>
      <w:r>
        <w:rPr>
          <w:rFonts w:ascii="Times New Roman" w:hAnsi="Times New Roman"/>
          <w:b/>
          <w:i w:val="0"/>
          <w:sz w:val="24"/>
        </w:rPr>
        <w:t>2.3 Preprocessing and module scoring</w:t>
      </w:r>
    </w:p>
    <w:p>
      <w:pPr>
        <w:spacing w:line="480" w:lineRule="auto"/>
      </w:pPr>
      <w:r>
        <w:rPr>
          <w:rFonts w:ascii="Times New Roman" w:hAnsi="Times New Roman"/>
          <w:sz w:val="24"/>
        </w:rPr>
        <w:t>Counts were converted to counts-per-million (CPM) and module scores computed as the mean log2(1 + CPM) across panel genes present in the matrix. Detection was defined as CPM &gt; 1. Throughout this paper the shorthand "log2CPM" denotes log2(1 + CPM); the unit offset avoids undefined values for zero-count genes and is applied identically to every gene and sample. Because the exosome response included a ribosomal-component shift (138 RPL/RPS genes rose from 3.23% to 4.22% of the library), which could in principle dilute non-ribosomal transcripts artifactually, the primary contrast was repeated under a DESeq2-style median-of-ratios sensitivity analysis (specified post hoc): size factors were computed as the median of CPM/gene-wise-geometric-mean ratios across the 17,922 genes with non-zero counts in all 19 exosome samples and applied on the CPM scale as log2(1 + CPM/size factor); every headline conclusion was unchanged (E1 -0.194, permutation P = 0.015; M3 -0.024, P = 0.64; E1 - M1 interaction P = 0.0017), so the E1 suppression is not a normalization artifact (`layer1_norm_robustness.json`).</w:t>
      </w:r>
    </w:p>
    <w:p>
      <w:r>
        <w:rPr>
          <w:rFonts w:ascii="Times New Roman" w:hAnsi="Times New Roman"/>
          <w:b/>
          <w:i w:val="0"/>
          <w:sz w:val="24"/>
        </w:rPr>
        <w:t>2.4 Statistical testing</w:t>
      </w:r>
    </w:p>
    <w:p>
      <w:pPr>
        <w:spacing w:line="480" w:lineRule="auto"/>
      </w:pPr>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w:t>
      </w:r>
      <w:r>
        <w:rPr>
          <w:rFonts w:ascii="Times New Roman" w:hAnsi="Times New Roman"/>
          <w:sz w:val="24"/>
          <w:vertAlign w:val="superscript"/>
        </w:rPr>
        <w:t>15</w:t>
      </w:r>
      <w:r>
        <w:rPr>
          <w:rFonts w:ascii="Times New Roman" w:hAnsi="Times New Roman"/>
          <w:sz w:val="24"/>
        </w:rPr>
        <w:t xml:space="preserve"> The channel-complementarity index (CCI), the within-sample difference between the mean expression rank of M1 genes and that of E1 genes across all 43,236 matrix genes, was computed per sample and compared between groups with the same permutation scheme. Gene-level contrasts were evaluated as Welch </w:t>
      </w:r>
      <w:r>
        <w:rPr>
          <w:rFonts w:ascii="Times New Roman" w:hAnsi="Times New Roman"/>
          <w:i/>
          <w:sz w:val="24"/>
        </w:rPr>
        <w:t>t</w:t>
      </w:r>
      <w:r>
        <w:rPr>
          <w:rFonts w:ascii="Times New Roman" w:hAnsi="Times New Roman"/>
          <w:sz w:val="24"/>
        </w:rPr>
        <w:t>-tests on log2(1 + CPM) values and, for genes belonging to a panel module, were further subjected to Benjamini–Hochberg correction within that module (reported as q_within_module). Both the uncorrected P values and the within-module q values are presented as descriptive support for the module-level findings, not as separately corrected discovery claims. The minimum detectable effect at 80% power (two-sided α = 0.05) was computed from the pooled within-group standard deviation of the per-sample module scores under an equal-variance normal approximation with a non-central t distribution. Confidence intervals for module-score differences are reported both as Welch (Satterthwaite) intervals and as permutation-inversion intervals, [D − q0.975, D − q0.025] of the exact permutation null. Mann-Whitney U P values are deposited in the reproducibility package and are not relied upon for any claim.</w:t>
      </w:r>
    </w:p>
    <w:p>
      <w:r>
        <w:rPr>
          <w:rFonts w:ascii="Times New Roman" w:hAnsi="Times New Roman"/>
          <w:b/>
          <w:i w:val="0"/>
          <w:sz w:val="24"/>
        </w:rPr>
        <w:t>2.5 Reproducibility</w:t>
      </w:r>
    </w:p>
    <w:p>
      <w:pPr>
        <w:spacing w:line="480" w:lineRule="auto"/>
      </w:pPr>
      <w:r>
        <w:rPr>
          <w:rFonts w:ascii="Times New Roman" w:hAnsi="Times New Roman"/>
          <w:sz w:val="24"/>
        </w:rPr>
        <w:t>All analyses were executed in Python 3.14.5 (NumPy 2.5.1, pandas 3.0.5, SciPy 1.18.0, Matplotlib 3.11.1). Every result file carries a SHA-256 manifest linking it to the exact input files and the frozen panel; the results-directory `MANIFEST.json` covers every deposited Layer-1 result file, including the normalization-robustness and extra-checks artifacts. All numerical values quoted in this manuscript are traceable to the reproducibility package: the module- and contrast-level results in `layer1_results.json`, the gene-level results in `layer1_gene_level.csv` (which includes a within-module Benjamini–Hochberg q), and the post hoc and robustness analyses in `layer1_extra_checks.json`, `layer1_norm_robustness.json` and `layer1_round2_additions.json`, all under the SHA-256 MANIFEST.</w:t>
      </w:r>
    </w:p>
    <w:p>
      <w:r>
        <w:rPr>
          <w:rFonts w:ascii="Times New Roman" w:hAnsi="Times New Roman"/>
          <w:b/>
          <w:i w:val="0"/>
          <w:sz w:val="25"/>
        </w:rPr>
        <w:t>3. Results</w:t>
      </w:r>
    </w:p>
    <w:p>
      <w:r>
        <w:rPr>
          <w:rFonts w:ascii="Times New Roman" w:hAnsi="Times New Roman"/>
          <w:b/>
          <w:i w:val="0"/>
          <w:sz w:val="24"/>
        </w:rPr>
        <w:t>3.1 Data examination: PIEZO2 and P2RX3 are highly expressed; TRPV4 and STOML3 are not detectable</w:t>
      </w:r>
    </w:p>
    <w:p>
      <w:pPr>
        <w:spacing w:line="480" w:lineRule="auto"/>
      </w:pPr>
      <w:r>
        <w:rPr>
          <w:rFonts w:ascii="Times New Roman" w:hAnsi="Times New Roman"/>
          <w:sz w:val="24"/>
        </w:rPr>
        <w:t>The prospectively specified data-examination gate established the expression baseline of the model (Table 1); the design and analysis pipeline are summarized in Figure 1. The HD10.6 line, a tetracycline-regulatable v-myc immortalized embryonic dorsal root ganglion clonal line, not an iPSC-derived model</w:t>
      </w:r>
      <w:r>
        <w:rPr>
          <w:rFonts w:ascii="Times New Roman" w:hAnsi="Times New Roman"/>
          <w:sz w:val="24"/>
          <w:vertAlign w:val="superscript"/>
        </w:rPr>
        <w:t>16,17</w:t>
      </w:r>
      <w:r>
        <w:rPr>
          <w:rFonts w:ascii="Times New Roman" w:hAnsi="Times New Roman"/>
          <w:sz w:val="24"/>
        </w:rPr>
        <w:t>, expressed PIEZO2 at high levels (mean 245.2 CPM; mean log2CPM 7.94 across all 12 infection-experiment samples; detected in 100% of samples in both experiments), as were ITGB1 (323.6 CPM) and the electrochemical nociceptor channels SCN9A (mean log2CPM 8.31 across all 12 samples; 8.39 in mock samples only) and TRPV1 (6.94 across all 12 samples; 7.02 in mock samples only).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MMP9-centered mechanisms is out of scope for this dataset.</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 GSE342782 comprises two experiments in differentiated HD10.6 human sensory neurons (31 samples): mock infection (n = 6) versus direct VZV infection (n = 6), harvested 4 days post-infection; and 36-hour exposure to serum-derived exosomes from healthy controls (n = 7), patients with acute herpes zoster (n = 7), or patients with PHN (n = 5). The frozen pre-analysis panel (M1-M4 mechanotransduction modules, E1 electrochemical nociceptor module, N1-N3 neutral controls) and the prospectively specified data-examination gate are shown, followed by module scoring on log2(1+CPM) with Welch t and exact label-permutation inference. The single pre-specified primary endpoint is M3 under HZ exosomes versus control exosomes; E1 and M1 under the same contrast are secondary; the PHN-exosome and direct-infection contrasts are exploratory.</w:t>
      </w:r>
    </w:p>
    <w:p>
      <w:pPr>
        <w:spacing w:line="480" w:lineRule="auto"/>
      </w:pPr>
      <w:r>
        <w:rPr>
          <w:rFonts w:ascii="Times New Roman" w:hAnsi="Times New Roman"/>
          <w:b/>
          <w:sz w:val="24"/>
        </w:rPr>
        <w:t>Table 1. Detection baseline of mechanotransduction-relevant genes (mean CPM per experiment; detected fraction = fraction of samples with CPM &gt; 1; DirectInf n = 12, SeraExo n = 19).</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 is transcriptionally inert within a bounded null</w:t>
      </w:r>
    </w:p>
    <w:p>
      <w:pPr>
        <w:spacing w:line="480" w:lineRule="auto"/>
      </w:pPr>
      <w:r>
        <w:rPr>
          <w:rFonts w:ascii="Times New Roman" w:hAnsi="Times New Roman"/>
          <w:sz w:val="24"/>
        </w:rPr>
        <w:t>The pre-specified primary endpoint, the M3 difference between HZ-serum exosomes and control exosomes, was -0.049 log2CPM (permutation P = 0.42; BH q = 0.46). We therefore report a bounded null: with seven versus seven samples and a 56-gene module, the minimum detectable effect at 80% power, computed from the observed group SDs as a post hoc sensitivity, was 0.18 log2CPM, and the observed difference sits well inside its 95% confidence interval (Welch -0.18 to +0.08; permutation-inversion -0.16 to +0.06). The null was not contrast-specific: M3 was likewise unchanged under direct VZV infection (P = 0.85), under PHN exosomes (P = 0.83), and when the M3 score was recomputed with the CCN1/CCN2 orthologs included (58 genes: -0.048; P = 0.42). M4 mechano-effectors was unchanged under HZ exosomes (-0.028; permutation P = 0.46) and modestly suppressed under direct VZV infection (-0.054; permutation P = 0.03; BH q = 0.20 across the eight modules), a borderline nominal signal; the route difference for M4 was not itself significant (+0.027; exact permutation P = 0.58), so no route specificity is claimed for M4. At the gene level the M3 module was directionally incoherent: COL4A1 (-0.381, P = 0.005), COL4A2 (-0.627, P = 0.007), ADAMTS1 (-0.479, P = 0.013) and TEAD1 (-0.339, P = 0.047) moved downward while LOX (+0.291, P = 0.024) and YAP1 (+0.425, P = 0.18) moved upward (these are uncorrected nominal P values across 56 genes, shown only to illustrate directional incoherence); LOX, mean CPM 0.40, and YAP1, 1.04, are themselves at or near the detection floor and are listed for completeness only, and the directional incoherence among detected M3 genes (COL4A1, COL4A2, ADAMTS1, TEAD1 and LOXL2 down versus MOB1A, TEAD2 and PLOD2 up) is unchanged when they are excluded. Excluding PTK2 (which the frozen panel places in both M3 and M4) changed neither module (M3 minus PTK2: -0.047 log2CPM, P = 0.44; M4 minus PTK2: -0.024, P = 0.52). This null is a substantive result: at the neuronal mRNA level, and within 36 hours of exosome exposure, the stiffness program does not respond to VZV-related perturbation.</w:t>
      </w:r>
    </w:p>
    <w:p>
      <w:r>
        <w:rPr>
          <w:rFonts w:ascii="Times New Roman" w:hAnsi="Times New Roman"/>
          <w:b/>
          <w:i w:val="0"/>
          <w:sz w:val="24"/>
        </w:rPr>
        <w:t>3.3 Secondary endpoint: HZ-serum exosomes suppress electrochemical nociceptor channels</w:t>
      </w:r>
    </w:p>
    <w:p>
      <w:pPr>
        <w:spacing w:line="480" w:lineRule="auto"/>
      </w:pPr>
      <w:r>
        <w:rPr>
          <w:rFonts w:ascii="Times New Roman" w:hAnsi="Times New Roman"/>
          <w:sz w:val="24"/>
        </w:rPr>
        <w:t xml:space="preserve">Under the same primary contrast, the pre-specified secondary module E1 (electrochemical nociceptor channels) was significantly suppressed (-0.220 log2CPM; exact permutation P = 0.013; Welch P = 0.011; BH q = 0.034; 95% CI -0.38 to -0.06; Figure 2a), whereas all four mechano-modules were not at the full-module level (M1 -0.078, P = 0.11; M2 -0.148, P = 0.068). Gene-level analysis showed a downward shift across the classical nociceptor apparatus, but the support is weaker than a module-level claim once within-module multiplicity is considered. In an uncorrected, descriptive screen (Welch </w:t>
      </w:r>
      <w:r>
        <w:rPr>
          <w:rFonts w:ascii="Times New Roman" w:hAnsi="Times New Roman"/>
          <w:i/>
          <w:sz w:val="24"/>
        </w:rPr>
        <w:t>t</w:t>
      </w:r>
      <w:r>
        <w:rPr>
          <w:rFonts w:ascii="Times New Roman" w:hAnsi="Times New Roman"/>
          <w:sz w:val="24"/>
        </w:rPr>
        <w:t>; E1 n = 18 genes), TRPV1 was down (-0.567, P = 0.0009) and remained significant after Benjamini–Hochberg correction within the E1 module (q = 0.017; Figure 2b); KCNS1 (-0.393, P = 0.017), SCN9A (-0.323, P = 0.018), ASIC1 (-0.181, P = 0.019) and ASIC2 (-0.296, P = 0.042) were nominally significant but did not survive within-E1 correction (q ≈ 0.07–0.13). By contrast, no mechanogated M1 gene reached P &lt; 0.05 (PIEZO2 P = 0.18, PIEZO1 P = 0.10, P2RX3 P = 0.076). SCN10A (Nav1.8) is excluded from the confirmed list: its mean CPM in the exosome experiment was 0.55 (detected in only 11% of samples), below the study's own detection threshold, although its nominal down-regulation (log2FC -0.384, P = 0.008, the second-smallest P value within E1 after TRPV1; within-E1 q = 0.068) is reported as a floor-limited descriptive value, not a confirmed signal. Within the membrane-cytoskeleton module M2, two genes also survived within-module correction (EZR, -0.335, Welch P = 0.0008, q = 0.017; PXN, -0.210, P = 0.002, q = 0.019); because the M2 module as a whole was not shifted (P = 0.068), these are reported as descriptive gene-level observations and are not claimed as module-level effects. A post hoc robustness analysis restricting E1 to 13 canonical nociceptor channels (SCN9A, SCN10A, SCN11A, TRPV1, TRPM8, ASIC1/2/3, KCNS1, KCNQ2/3, CACNA2D1/2) gave a larger shift than the full module (-0.244 log2CPM; Welch P = 0.0037; exact permutation P = 0.0023; 95% CI -0.39 to -0.10; detected genes only, n = 10: -0.257, P = 0.0029), so the E1 finding does not depend on its non-canonical members. PIEZO2, the dominant mechanogated channel of this model, was not suppressed (-0.282, P = 0.18; 95% CI approximately -0.72 to +0.15), a resolution-limited null at the gene level. We therefore report the channel-class imbalance as a gene-level, nominal signal led by TRPV1 rather than a confirmed module-level selective suppression; the M1 pattern is itself resolution-limited, because restricting to detected genes flips M1 to significant (P = 0.046, §3.6), so neither "spared" nor "confirmed down" is established for M1. Under the same eight-module correction the two neutral controls also crossed q &lt; 0.05 (N3 q = 0.014; N2 q = 0.023; §3.6). E1 must also be judged against its own neutral control: the per-sample (E1 - N1) difference shifted by only -0.064 log2CPM under HZ exosomes (exact permutation P = 0.178; Welch P = 0.187), ie E1 is not separable from N1 at the module level. The channel-class imbalance therefore survives as a gene-level, family-corrected signal led by TRPV1, not as a demonstrated module-level selectivity over control channels.</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(HZ-exo minus control-exo, log2CPM) for the primary contrast, with neutral controls displayed alongside. E1 (-0.220; exact permutation P = 0.013; BH q = 0.034) is the only biological module significantly shifted; N3 (+0.391; P = 0.002) responds as an exposure control and N2 (-0.022; P = 0.006) rests on a single low-baseline gene; M1-M4 and N1 are not significant at the full-module level. *P &lt; 0.05, **P &lt; 0.01, ***P &lt; 0.001 (exact permutation P); n = 7 versus 7.</w:t>
      </w:r>
    </w:p>
    <w:p>
      <w:pPr>
        <w:jc w:val="center"/>
      </w:pPr>
      <w:r>
        <w:drawing>
          <wp:inline xmlns:a="http://schemas.openxmlformats.org/drawingml/2006/main" xmlns:pic="http://schemas.openxmlformats.org/drawingml/2006/picture">
            <wp:extent cx="5303520" cy="3349592"/>
            <wp:docPr id="3" name="Picture 3"/>
            <wp:cNvGraphicFramePr>
              <a:graphicFrameLocks noChangeAspect="1"/>
            </wp:cNvGraphicFramePr>
            <a:graphic>
              <a:graphicData uri="http://schemas.openxmlformats.org/drawingml/2006/picture">
                <pic:pic>
                  <pic:nvPicPr>
                    <pic:cNvPr id="0" name="fig2b_E1_genes.png"/>
                    <pic:cNvPicPr/>
                  </pic:nvPicPr>
                  <pic:blipFill>
                    <a:blip r:embed="rId11"/>
                    <a:stretch>
                      <a:fillRect/>
                    </a:stretch>
                  </pic:blipFill>
                  <pic:spPr>
                    <a:xfrm>
                      <a:off x="0" y="0"/>
                      <a:ext cx="5303520" cy="3349592"/>
                    </a:xfrm>
                    <a:prstGeom prst="rect"/>
                  </pic:spPr>
                </pic:pic>
              </a:graphicData>
            </a:graphic>
          </wp:inline>
        </w:drawing>
      </w:r>
    </w:p>
    <w:p>
      <w:pPr>
        <w:jc w:val="center"/>
      </w:pPr>
      <w:r>
        <w:rPr>
          <w:rFonts w:ascii="Times New Roman" w:hAnsi="Times New Roman"/>
          <w:b w:val="0"/>
          <w:i/>
          <w:sz w:val="20"/>
        </w:rPr>
        <w:t>Figure 2b. Gene-level differences within E1 for the primary contrast (Welch t on log2(1+CPM)); the eight E1 genes with the largest absolute differences are shown. Only TRPV1 survives Benjamini-Hochberg correction within the module (q = 0.017); KCNS1, SCN9A, ASIC1 and ASIC2 are nominally significant (q approximately 0.07-0.13); SCN10A lies below the detection floor in the exosome experiment (mean CPM 0.55; detected in 11% of samples) and is shown for completeness only; KCNQ2 and CACNA1H are not statistically distinguishable from zero (P = 0.47 and P = 0.24) and are shown because of their effect sizes.</w:t>
      </w:r>
    </w:p>
    <w:p>
      <w:r>
        <w:rPr>
          <w:rFonts w:ascii="Times New Roman" w:hAnsi="Times New Roman"/>
          <w:b/>
          <w:i w:val="0"/>
          <w:sz w:val="24"/>
        </w:rPr>
        <w:t>3.4 Route dependence tested by contrast-of-contrasts, not by significant-versus-not</w:t>
      </w:r>
    </w:p>
    <w:p>
      <w:pPr>
        <w:spacing w:line="480" w:lineRule="auto"/>
      </w:pPr>
      <w:r>
        <w:rPr>
          <w:rFonts w:ascii="Times New Roman" w:hAnsi="Times New Roman"/>
          <w:sz w:val="24"/>
        </w:rPr>
        <w:t xml:space="preserve">To test whether the route determines which channel program shifts, we computed the interaction (difference-in-differences) between the E1 and M1 module scores. For the exosome contrast, (E1 difference - M1 difference) = -0.142 log2CPM with exact permutation P = 0.0017 (Figure 2c); for the direct-infection contrast, (M1 difference - E1 difference) = -0.051 with exact permutation P = 0.19, so the reciprocal "M1-selective" pattern is not supported at the interaction level. Testing whether the route modifies the E1-versus-M1 pattern directly, the difference between the exosome and direct-infection difference-in-differences (E1−M1 composite, same orientation in both routes) was -0.193 log2CPM, exact permutation P = 0.0011 (3,356 of 3,171,168 combined label partitions); this formal route-by-program interaction supports route dependence, while noting that SCN10A contributes appreciably to the E1 score only in the infection experiment, so the composite is not identically composed across routes. However, the exosome interaction does not survive a sensitivity analysis for detection-floor asymmetry between modules: M1 contains 4/9 genes below the detection threshold (each contributing ≈0 and diluting its module mean), whereas E1 contains 5/18. Restricting both modules to detected genes (mean CPM &gt; 1) removes this dilution and yields a much smaller interaction (-0.072) that is not significant (exact permutation P = 0.16). Note that this detected-gene analysis is a </w:t>
      </w:r>
      <w:r>
        <w:rPr>
          <w:rFonts w:ascii="Times New Roman" w:hAnsi="Times New Roman"/>
          <w:i/>
          <w:sz w:val="24"/>
        </w:rPr>
        <w:t>subset</w:t>
      </w:r>
      <w:r>
        <w:rPr>
          <w:rFonts w:ascii="Times New Roman" w:hAnsi="Times New Roman"/>
          <w:sz w:val="24"/>
        </w:rPr>
        <w:t xml:space="preserve"> sensitivity, not a multiplicity correction; it also shows M1 itself shifting downward in the detected-gene subset (P = 0.046, §3.6), so the apparent full-module selectivity is better described as dilution-limited than as a confirmed biological dissociation. The channel-class imbalance is instead suggested at the gene level on a nominal, uncorrected basis (TRPV1 survives within-E1 correction, EZR and PXN survive within-M2 correction descriptively, KCNS1/SCN9A/ASIC1/2 are nominally down, and no M1 gene reaches P &lt; 0.05 [PIEZO2 P = 0.18]) but remains hypothesis-generating pending family-corrected confirmation. We disclose that the contrast-of-contrasts interaction test was specified post hoc (not in the original frozen analysis plan) and is reported as exploratory; because two routes were tested, the nominal interaction P should be read with that multiplicity in mind (the 2-route Bonferroni-adjusted exosome interaction P = 0.0034 remains significant, but the detected-gene subset analysis above renders the selectivity non-significant). The VZV picture remains weak and inconsistent: direct infection drove M1 downward (-0.050; Welch P = 0.047) while E1 was unchanged (+0.0005; P = 0.996), and individual E1 genes were nominally down under HZ exosomes (TRPV1 P &lt; 0.001, SCN9A P = 0.018, ASIC1/2 P ≤ 0.042) whereas no M1 gene reached significance (PIEZO2 P = 0.18), consistent with a gene-level, route-dependent E1 signal rather than a module-level selective suppression. The route dependence is one of magnitude rather than direction: TRPV1 mRNA also fell under direct VZV infection (-0.149 log2CPM, Welch P = 0.008, within-E1 q = 0.144), roughly a quarter of the HZ-exosome effect (-0.567); PIEZO2 likewise fell modestly under direct infection (-0.144, P = 0.021).</w:t>
      </w:r>
    </w:p>
    <w:p>
      <w:pPr>
        <w:jc w:val="center"/>
      </w:pPr>
      <w:r>
        <w:drawing>
          <wp:inline xmlns:a="http://schemas.openxmlformats.org/drawingml/2006/main" xmlns:pic="http://schemas.openxmlformats.org/drawingml/2006/picture">
            <wp:extent cx="5303520" cy="2456367"/>
            <wp:docPr id="4" name="Picture 4"/>
            <wp:cNvGraphicFramePr>
              <a:graphicFrameLocks noChangeAspect="1"/>
            </wp:cNvGraphicFramePr>
            <a:graphic>
              <a:graphicData uri="http://schemas.openxmlformats.org/drawingml/2006/picture">
                <pic:pic>
                  <pic:nvPicPr>
                    <pic:cNvPr id="0" name="fig2c_dissociation.png"/>
                    <pic:cNvPicPr/>
                  </pic:nvPicPr>
                  <pic:blipFill>
                    <a:blip r:embed="rId12"/>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2c. Route-dependent channel-program shifts (nominal; not a confirmed dissociation). Left: direct VZV infection versus mock; right: HZ exosomes versus control exosomes. The full-module E1-M1 interaction under HZ exosomes (-0.142 log2CPM; exact permutation P = 0.0017) is a post hoc test and does not survive restriction of both modules to detected genes (-0.072; P = 0.16); the reciprocal interaction under direct infection is not significant (-0.051; P = 0.19). n = 6 versus 6 and 7 versus 7.</w:t>
      </w:r>
    </w:p>
    <w:p>
      <w:r>
        <w:rPr>
          <w:rFonts w:ascii="Times New Roman" w:hAnsi="Times New Roman"/>
          <w:b/>
          <w:i w:val="0"/>
          <w:sz w:val="24"/>
        </w:rPr>
        <w:t>3.5 Exploratory PHN-exosome contrast: non-specific and confounded</w:t>
      </w:r>
    </w:p>
    <w:p>
      <w:pPr>
        <w:spacing w:line="480" w:lineRule="auto"/>
      </w:pPr>
      <w:r>
        <w:rPr>
          <w:rFonts w:ascii="Times New Roman" w:hAnsi="Times New Roman"/>
          <w:sz w:val="24"/>
        </w:rPr>
        <w:t>PHN-serum exosomes produced larger and broader shifts than HZ exosomes: M1 (-0.119; P = 0.009; q = 0.024), E1 (-0.197; P = 0.005; q = 0.020), M2 (-0.178; P = 0.030),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w:t>
      </w:r>
      <w:r>
        <w:rPr>
          <w:rFonts w:ascii="Times New Roman" w:hAnsi="Times New Roman"/>
          <w:sz w:val="24"/>
          <w:vertAlign w:val="superscript"/>
        </w:rPr>
        <w:t>6</w:t>
      </w:r>
      <w:r>
        <w:rPr>
          <w:rFonts w:ascii="Times New Roman" w:hAnsi="Times New Roman"/>
          <w:sz w:val="24"/>
        </w:rPr>
        <w:t xml:space="preserve"> we report this contrast as non-specific and confounded, and it plays no confirmatory role in our conclusions.</w:t>
      </w:r>
    </w:p>
    <w:p>
      <w:pPr>
        <w:spacing w:line="480" w:lineRule="auto"/>
      </w:pPr>
      <w:r>
        <w:rPr>
          <w:rFonts w:ascii="Times New Roman" w:hAnsi="Times New Roman"/>
          <w:sz w:val="24"/>
        </w:rPr>
        <w:t>Donor-level age and sex are not present in the deposited GEO metadata for these samples (which report only cell line and treatment), so the confounding cannot be quantified from public data; it is documented in the original publication</w:t>
      </w:r>
      <w:r>
        <w:rPr>
          <w:rFonts w:ascii="Times New Roman" w:hAnsi="Times New Roman"/>
          <w:sz w:val="24"/>
          <w:vertAlign w:val="superscript"/>
        </w:rPr>
        <w:t>6</w:t>
      </w:r>
      <w:r>
        <w:rPr>
          <w:rFonts w:ascii="Times New Roman" w:hAnsi="Times New Roman"/>
          <w:sz w:val="24"/>
        </w:rPr>
        <w:t xml:space="preserve"> and is the reason this contrast is treated as exploratory rather than confirmatory. Gene-level P values within this contrast are reported without any claim of family-wise control, and no clinical inference about PHN as a disease of patients is drawn from it.</w:t>
      </w:r>
    </w:p>
    <w:p>
      <w:r>
        <w:rPr>
          <w:rFonts w:ascii="Times New Roman" w:hAnsi="Times New Roman"/>
          <w:b/>
          <w:i w:val="0"/>
          <w:sz w:val="24"/>
        </w:rPr>
        <w:t>3.6 Neutral controls, calibration, and reporting discipline</w:t>
      </w:r>
    </w:p>
    <w:p>
      <w:pPr>
        <w:spacing w:line="480" w:lineRule="auto"/>
      </w:pPr>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q = 0.014) and more strongly by PHN exosomes (+0.577; P = 0.001); it behaves as an exposure (positive) control reflecting a genuine translational-program response to exosome exposure, not as a neutral baseline. Under the eight-module Benjamini–Hochberg family for the primary contrast, the full ordering of q values was N3 0.014, N2 0.023, E1 0.034, M2 0.136, M1 0.181, N1 0.201 and M3/M4 0.462: the two neutral controls outrank the E1 secondary endpoint and are interpreted as an exposure response and a calibration benchmark, respectively, not as biological findings. Third, N1 overlaps E1 by two genes (KCNQ2, KCNQ3) that move with E1 under PHN exosomes; the N1 "control" signal under PHN therefore shares machinery with the E1 signal and is disclosed as such. Because these two genes belong to both modules, their within-module q values are family-specific and are reported separately rather than as a single number: under the primary contrast, KCNQ3 has q = 0.366 within E1 and q = 0.500 within N1, and KCNQ2 has q = 0.497 within E1 and q = 0.564 within N1; neither is significant in either family. Global-shift diagnostics confirmed no genome-wide drift confounded the module scores: per-sample mean log2CPM values were near-identical across all 19 exosome samples (range 1.55 to 1.61); this diagnostic is a blunt instrument dominated by low-count genes, and the normalization sensitivity analysis (§2.3) is the substantive answer to the drift question. The CCI did not differ between groups at the full gene set under any contrast (all permutation P &gt;= 0.82: HZ exosomes +82.7, P = 0.83; PHN exosomes -74.3, P = 0.85; direct infection -19.8, P = 0.97; Figure 2d). This null is not a construction artifact: the 18 E1 genes moved a mean of 596 within-sample rank positions downward between control and HZ exosomes (GRIA1 2,868; SCN10A 1,396; TRPV1 1,042), and the CCI is sensitive to displacements of this size: a uniform -0.22 log2CPM shift imposed on the E1 genes of the HZ group would produce a CCI difference of about +2,470 (P = 0.0006). The observed null instead reflects cancellation by the M1 arm, whose displacement is dominated by below-detection TRPA1 (mean CPM 0.033 versus 0.007; -5,451 rank positions); restricted to detected genes (5 M1, 13 E1), the CCI becomes +215.6 (permutation P = 0.046). The CCI is therefore reported as a descriptive rank-based observation rather than as a negative control, and its direction under the detected-gene restriction is consistent with an absolute component to the E1 suppression; no claim of channel-class specificity is drawn from it.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2d_cci.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2d. Channel-complementarity index (CCI) differences by contrast (all non-significant at the full gene set; exact permutation P &gt;= 0.82). The CCI, the within-sample difference between mean expression ranks of the M1 and E1 gene sets across all 43,236 matrix genes, is reported as a descriptive rank-based observation rather than as a negative control: the full-set null reflects cancellation by a floor-dominated M1 arm, and the detected-gene CCI is +215.6 (P = 0.046; §3.6). n = 7/7 (HZ exosomes), 5/7 (PHN exosomes), 6/6 (direct infection).</w:t>
      </w:r>
    </w:p>
    <w:p>
      <w:r>
        <w:rPr>
          <w:rFonts w:ascii="Times New Roman" w:hAnsi="Times New Roman"/>
          <w:b/>
          <w:i w:val="0"/>
          <w:sz w:val="24"/>
        </w:rPr>
        <w:t>3.7 Neuronal integrity: the E1 shift is not attributable to overt injury</w:t>
      </w:r>
    </w:p>
    <w:p>
      <w:pPr>
        <w:spacing w:line="480" w:lineRule="auto"/>
      </w:pPr>
      <w:r>
        <w:rPr>
          <w:rFonts w:ascii="Times New Roman" w:hAnsi="Times New Roman"/>
          <w:sz w:val="24"/>
        </w:rPr>
        <w:t>To distinguish a specific channel effect from a non-specific neuronal reaction or cytotoxicity, we examined the injury marker ATF3 and a pan-neuronal panel (post hoc). ATF3 was unchanged under HZ exosomes (+0.0002 log2CPM, P = 0.998), so the E1 suppression cannot be attributed to overt neuronal injury or cell loss. However, five pan-neuronal markers moved modestly in the same direction (NEFH -0.221, P = 0.006; TUBB3 -0.183, P = 0.012; NTRK1 -0.202, P = 0.031; PRPH -0.128, P = 0.048; NEFL -0.111, P = 0.053), so a mild, non-specific neuronal response accompanying the exosome exposure cannot be excluded; no marker survived Benjamini-Hochberg correction across the ten-gene panel. This pattern bounds the interpretation in both directions: it argues against cytotoxicity as the explanation for the E1 shift, while cautioning that the shift is not demonstrably channel-specific at the level of the whole transcriptome.</w:t>
      </w:r>
    </w:p>
    <w:p>
      <w:r>
        <w:rPr>
          <w:rFonts w:ascii="Times New Roman" w:hAnsi="Times New Roman"/>
          <w:b/>
          <w:i w:val="0"/>
          <w:sz w:val="25"/>
        </w:rPr>
        <w:t>4. Discussion</w:t>
      </w:r>
    </w:p>
    <w:p>
      <w:r>
        <w:rPr>
          <w:rFonts w:ascii="Times New Roman" w:hAnsi="Times New Roman"/>
          <w:b/>
          <w:i w:val="0"/>
          <w:sz w:val="24"/>
        </w:rPr>
        <w:t>4.1 A route-dependent, gene-level channel signal: hypothesis-generating, not a proven allodynia substrate</w:t>
      </w:r>
    </w:p>
    <w:p>
      <w:pPr>
        <w:spacing w:line="480" w:lineRule="auto"/>
      </w:pPr>
      <w:r>
        <w:rPr>
          <w:rFonts w:ascii="Times New Roman" w:hAnsi="Times New Roman"/>
          <w:sz w:val="24"/>
        </w:rPr>
        <w:t>The central empirical contribution of this reanalysis is a gene-level channel-class imbalance: acute-HZ serum exosomes suppress the electrochemical nociceptor apparatus (led by TRPV1, with nominal down-regulation of KCNS1, Nav1.7/SCN9A and ASIC1/2) more than the mechanically gated one (E1 genes nominally down; only TRPV1 survives within-E1 correction; no M1 gene significant), while the ECM-Hippo stiffness program shows no detectable transcriptional response within a bounded null. The full-module interaction that initially suggested selective E1 suppression (P = 0.0017) did not survive a detected-gene subset analysis (P = 0.16), so we do not present it as a confirmed dissociation; the formal route-by-program difference-in-differences (-0.193 log2CPM; exact permutation P = 0.0011) supports route dependence at the level of perturbation route, not a confirmed cross-program dissociation. We deliberately do not present this as a transcriptomic "substrate for mechanical allodynia." The established mechanotransduction literature points the opposite way: allodynia is predominantly a gain of mechanosensory function, and Piezo2 is a mechanically activated cation channel expressed by touch receptors and by a large fraction of DRG neurons,</w:t>
      </w:r>
      <w:r>
        <w:rPr>
          <w:rFonts w:ascii="Times New Roman" w:hAnsi="Times New Roman"/>
          <w:sz w:val="24"/>
          <w:vertAlign w:val="superscript"/>
        </w:rPr>
        <w:t>18-20</w:t>
      </w:r>
      <w:r>
        <w:rPr>
          <w:rFonts w:ascii="Times New Roman" w:hAnsi="Times New Roman"/>
          <w:sz w:val="24"/>
        </w:rPr>
        <w:t xml:space="preserve"> whose gain-of-function sensitizes nociceptors and increases mechanical pain sensitivity;</w:t>
      </w:r>
      <w:r>
        <w:rPr>
          <w:rFonts w:ascii="Times New Roman" w:hAnsi="Times New Roman"/>
          <w:sz w:val="24"/>
          <w:vertAlign w:val="superscript"/>
        </w:rPr>
        <w:t>21</w:t>
      </w:r>
      <w:r>
        <w:rPr>
          <w:rFonts w:ascii="Times New Roman" w:hAnsi="Times New Roman"/>
          <w:sz w:val="24"/>
        </w:rPr>
        <w:t xml:space="preserve"> indeed, that same work implies allodynia requires intact Piezo2 function. Because we invoke mRNA-function decoupling to reconcile the E1 direction (below), the same logic must be applied here: PIEZO2 transcript was unchanged, but Piezo2 function is regulated post-translationally, most directly by relief of its voltage-block, which is sufficient to sensitize cutaneous nociceptors and drive ongoing activity without any change in PIEZO2 expression.</w:t>
      </w:r>
      <w:r>
        <w:rPr>
          <w:rFonts w:ascii="Times New Roman" w:hAnsi="Times New Roman"/>
          <w:sz w:val="24"/>
          <w:vertAlign w:val="superscript"/>
        </w:rPr>
        <w:t>21</w:t>
      </w:r>
      <w:r>
        <w:rPr>
          <w:rFonts w:ascii="Times New Roman" w:hAnsi="Times New Roman"/>
          <w:sz w:val="24"/>
        </w:rPr>
        <w:t xml:space="preserve"> Our data therefore show no transcriptional up-regulation of the mechanogated program in this model. Piezo2-dependent mechanical sensitization remains possible, because Piezo2 function is regulated post-translationally (most directly by relief of its voltage block), so the M1 null should not be read as evidence against a mechanical axis in PHN. Piezo2 is required for mechanical pain in mice</w:t>
      </w:r>
      <w:r>
        <w:rPr>
          <w:rFonts w:ascii="Times New Roman" w:hAnsi="Times New Roman"/>
          <w:sz w:val="24"/>
          <w:vertAlign w:val="superscript"/>
        </w:rPr>
        <w:t>22</w:t>
      </w:r>
      <w:r>
        <w:rPr>
          <w:rFonts w:ascii="Times New Roman" w:hAnsi="Times New Roman"/>
          <w:sz w:val="24"/>
        </w:rPr>
        <w:t xml:space="preserve"> and human loss-of-function causes selective loss of discriminative touch and proprioception,</w:t>
      </w:r>
      <w:r>
        <w:rPr>
          <w:rFonts w:ascii="Times New Roman" w:hAnsi="Times New Roman"/>
          <w:sz w:val="24"/>
          <w:vertAlign w:val="superscript"/>
        </w:rPr>
        <w:t>23</w:t>
      </w:r>
      <w:r>
        <w:rPr>
          <w:rFonts w:ascii="Times New Roman" w:hAnsi="Times New Roman"/>
          <w:sz w:val="24"/>
        </w:rPr>
        <w:t xml:space="preserve"> and SCN9A loss-of-function causes congenital insensitivity to pain.</w:t>
      </w:r>
      <w:r>
        <w:rPr>
          <w:rFonts w:ascii="Times New Roman" w:hAnsi="Times New Roman"/>
          <w:sz w:val="24"/>
          <w:vertAlign w:val="superscript"/>
        </w:rPr>
        <w:t>24</w:t>
      </w:r>
    </w:p>
    <w:p>
      <w:pPr>
        <w:spacing w:line="480" w:lineRule="auto"/>
      </w:pPr>
      <w:r>
        <w:rPr>
          <w:rFonts w:ascii="Times New Roman" w:hAnsi="Times New Roman"/>
          <w:sz w:val="24"/>
        </w:rPr>
        <w:t>The directionality must be addressed explicitly. We observe reduced steady-state transcript of pro-nociceptive channels (TRPV1, Nav1.7, ASICs), yet PHN mechanical allodynia is a state of increased mechanosensitivity. Three non-mutually-exclusive reconciliations are biologically grounded. (i) mRNA–function decoupling: PHN allodynia is driven predominantly by post-translational sensitization of these channels (phosphorylation, trafficking, and inflammatory mediators such as NGF, PGE2 and bradykinin), so reduced steady-state transcript is compatible with functional hyperexcitability provided that post-translational sensitization outweighs an approximately 1.5-fold reduction in transcript; we cannot test this balance without protein-level or electrophysiological data, and the alternative reading, that the observed down-regulation is genuinely counter-regulatory or homeostatic, remains open. The same decoupling applies to the M3 program, which is also largely post-translationally regulated. (ii) Exosome as host-signal readout: patient serum exosomes are a readout of the systemic milieu during acute HZ; the observed down-regulation may reflect a host-derived homeostatic or anti-nociceptive signal rather than a neuronal-autonomous pro-allodynia program, with allodynia arising where this containment fails. (iii) Model limitation: an embryonic clonal line cannot recapture in-vivo circuit-level hyperexcitability. We therefore do not present the shift as a direct allodynia mechanism; its relevance is hypothesis-generating and model-bound. Clinically, this raises a testable question: whether the channel-suppressive response of sensory neurons to acute-HZ serum exosomes is transient or persistent, and whether its persistence distinguishes patients whose pain resolves from those who progress to PHN. A well-posed test would enroll consecutive patients with acute herpes zoster at rash onset, collect serum before antiviral treatment where feasible, expose the same HD10.6 assay to blinded exosome aliquots at fixed intervals (for example baseline and 2, 4, 8 and 12 weeks), pre-specify PHN at 90 days as the endpoint with progression-free patients as the comparator group, and adjust for age, sex and analgesic exposure. The assay's reproducibility, its dependence on exosome dose, and the non-specific PHN-exosome behavior observed here would all need to be resolved before such a study could be powered; the present data only motivate it. (The source study's report of up-regulated substance P is not reproduced here: TAC1 was +0.22 log2CPM, P = 0.38, under HZ exosomes.)</w:t>
      </w:r>
    </w:p>
    <w:p>
      <w:r>
        <w:rPr>
          <w:rFonts w:ascii="Times New Roman" w:hAnsi="Times New Roman"/>
          <w:b/>
          <w:i w:val="0"/>
          <w:sz w:val="24"/>
        </w:rPr>
        <w:t>4.2 Route dependence and its implications</w:t>
      </w:r>
    </w:p>
    <w:p>
      <w:pPr>
        <w:spacing w:line="480" w:lineRule="auto"/>
      </w:pPr>
      <w:r>
        <w:rPr>
          <w:rFonts w:ascii="Times New Roman" w:hAnsi="Times New Roman"/>
          <w:sz w:val="24"/>
        </w:rPr>
        <w:t>The interaction test shows the route of perturbation matters, but asymmetrically: exosomes from acute zoster produce a clear E1 suppression at the gene level (a nominal signal led by TRPV1), whereas direct VZV infection does not produce a statistically supported selective M1 effect. The formal route-by-program difference-in-differences (-0.193 log2CPM; exact permutation P = 0.0011) supports this asymmetry statistically. This argues against treating "VZV effects on sensory neurons" as a single biological category: intracellular viral replication and systemic extracellular-vesicle signaling are not interchangeable models, and conclusions from one cannot be exported to the other. It also identifies exosomes as the plausible carrier of the systemic-to-neuronal signal that follows acute zoster, aligning with the literature on extracellular-vesicle-mediated pain signaling, in which DRG-neuron- and macrophage-derived EVs bidirectionally regulate nociceptive signaling and neuropathic mechanical hypersensitivity.</w:t>
      </w:r>
      <w:r>
        <w:rPr>
          <w:rFonts w:ascii="Times New Roman" w:hAnsi="Times New Roman"/>
          <w:sz w:val="24"/>
          <w:vertAlign w:val="superscript"/>
        </w:rPr>
        <w:t>25,26</w:t>
      </w:r>
      <w:r>
        <w:rPr>
          <w:rFonts w:ascii="Times New Roman" w:hAnsi="Times New Roman"/>
          <w:sz w:val="24"/>
        </w:rPr>
        <w:t xml:space="preserve"> We note the E1≫M1 selectivity does not survive detection-floor correction (§3.4), so the route difference is best stated as "exosomes yield a clear E1 signal; direct infection does not yield a selective M1 signal" rather than a confirmed cross-program dissociation.</w:t>
      </w:r>
    </w:p>
    <w:p>
      <w:r>
        <w:rPr>
          <w:rFonts w:ascii="Times New Roman" w:hAnsi="Times New Roman"/>
          <w:b/>
          <w:i w:val="0"/>
          <w:sz w:val="24"/>
        </w:rPr>
        <w:t>4.3 The inert stiffness program redirects the mechanical search</w:t>
      </w:r>
    </w:p>
    <w:p>
      <w:pPr>
        <w:spacing w:line="480" w:lineRule="auto"/>
      </w:pPr>
      <w:r>
        <w:rPr>
          <w:rFonts w:ascii="Times New Roman" w:hAnsi="Times New Roman"/>
          <w:sz w:val="24"/>
        </w:rPr>
        <w:t>The most informative result for the mechanotransduction field may be what did not move. The ECM-integrin-Hippo program, the transcriptional core of cellular mechanotransduction, showed no detectable transcriptional response under any perturbation route, within a bounded null (MDE 0.18 log2CPM); "no detectable response" is the claim, not "inert by mechanism". Three explanations deserve attention. (i) The program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remodeling requires longer time constants. (iii) mRNA may be uncoupled from mechanotransduction, which is largely regulated post-translationally. Radial extracorporeal shockwave therapy (rESWT), which this section invokes only as contextual background, illustrates the compartmental problem at the experimental level: in single-cell data from a rat bone-callus model, ESWT released extracellular vesicles through an ATP/P2X7R/p38MAPK axis acting on mesenchymal rather than neuronal cells,</w:t>
      </w:r>
      <w:r>
        <w:rPr>
          <w:rFonts w:ascii="Times New Roman" w:hAnsi="Times New Roman"/>
          <w:sz w:val="24"/>
          <w:vertAlign w:val="superscript"/>
        </w:rPr>
        <w:t>27</w:t>
      </w:r>
      <w:r>
        <w:rPr>
          <w:rFonts w:ascii="Times New Roman" w:hAnsi="Times New Roman"/>
          <w:sz w:val="24"/>
        </w:rPr>
        <w:t xml:space="preserve"> and none of those studies tested a YAP/TAZ or neuronal-channel mechanism in PHN. Whichever applies, the practical redirection is the same: the mechanical axis in PHN should be pursued in non-neuronal compartments (DRG satellite glia, skin, and serum) and in spatially resolved tissue data. This reframing is relevant only as context for mechanotherapy: the machinery engaged by ESWT (integrin-FAK-p38MAPK; Piezo1–FAK signaling) resides in those non-neuronal compartments,</w:t>
      </w:r>
      <w:r>
        <w:rPr>
          <w:rFonts w:ascii="Times New Roman" w:hAnsi="Times New Roman"/>
          <w:sz w:val="24"/>
          <w:vertAlign w:val="superscript"/>
        </w:rPr>
        <w:t>11,12</w:t>
      </w:r>
      <w:r>
        <w:rPr>
          <w:rFonts w:ascii="Times New Roman" w:hAnsi="Times New Roman"/>
          <w:sz w:val="24"/>
        </w:rPr>
        <w:t xml:space="preserve"> and ESWT has shown within-group benefit in herpetic neuralgia in small uncontrolled or single-blind studies</w:t>
      </w:r>
      <w:r>
        <w:rPr>
          <w:rFonts w:ascii="Times New Roman" w:hAnsi="Times New Roman"/>
          <w:sz w:val="24"/>
          <w:vertAlign w:val="superscript"/>
        </w:rPr>
        <w:t>7,8</w:t>
      </w:r>
      <w:r>
        <w:rPr>
          <w:rFonts w:ascii="Times New Roman" w:hAnsi="Times New Roman"/>
          <w:sz w:val="24"/>
        </w:rPr>
        <w:t xml:space="preserve"> although the largest randomized trial reported pain reduction without a significant time-by-group interaction.</w:t>
      </w:r>
      <w:r>
        <w:rPr>
          <w:rFonts w:ascii="Times New Roman" w:hAnsi="Times New Roman"/>
          <w:sz w:val="24"/>
          <w:vertAlign w:val="superscript"/>
        </w:rPr>
        <w:t>9</w:t>
      </w:r>
      <w:r>
        <w:rPr>
          <w:rFonts w:ascii="Times New Roman" w:hAnsi="Times New Roman"/>
          <w:sz w:val="24"/>
        </w:rPr>
        <w:t xml:space="preserve"> We do not assert any YAP/TAZ- or neuronal-channel-specific ESWT mechanism: the cited works do not test such a mechanism, and the present data show the neuronal mechanogated and stiffness programs to be inert, so the ESWT literature is contextual background for future non-neuronal studies, not evidence supporting the present findings.</w:t>
      </w:r>
    </w:p>
    <w:p>
      <w:r>
        <w:rPr>
          <w:rFonts w:ascii="Times New Roman" w:hAnsi="Times New Roman"/>
          <w:b/>
          <w:i w:val="0"/>
          <w:sz w:val="24"/>
        </w:rPr>
        <w:t>4.4 Limitations</w:t>
      </w:r>
    </w:p>
    <w:p>
      <w:pPr>
        <w:spacing w:line="480" w:lineRule="auto"/>
      </w:pPr>
      <w:r>
        <w:rPr>
          <w:rFonts w:ascii="Times New Roman" w:hAnsi="Times New Roman"/>
          <w:sz w:val="24"/>
        </w:rPr>
        <w:t>Before the point-by-point constraints below, one overarching caution for clinical readers: every result in this study derives from a 36-hour exposure of an immortalized embryonic dorsal-root-ganglion clonal line (HD10.6) to patient-derived serum exosomes or VZV. No finding here describes chronic PHN biology in living patients, and the PHN-exosome donor group, the clinically most relevant contrast, is confounded by age and sex; conclusions about PHN as a disease of patients are out of scope.</w:t>
      </w:r>
    </w:p>
    <w:p>
      <w:pPr>
        <w:spacing w:line="480" w:lineRule="auto"/>
      </w:pPr>
      <w:r>
        <w:rPr>
          <w:rFonts w:ascii="Times New Roman" w:hAnsi="Times New Roman"/>
          <w:sz w:val="24"/>
        </w:rPr>
        <w:t>This study is a secondary analysis with the following constraints, each stated at design stage. (i) The model is an immortalized embryonic DRG clonal line (HD10.6), not iPSC-derived neurons and not DRG tissue; its baseline differs from adult DRG: PIEZO2 is in fact widely expressed across adult human DRG neuronal classes, so PIEZO2-high is not itself the deviation, whereas TRPV4/STOML3 absence and single-clone derivation are,</w:t>
      </w:r>
      <w:r>
        <w:rPr>
          <w:rFonts w:ascii="Times New Roman" w:hAnsi="Times New Roman"/>
          <w:sz w:val="24"/>
          <w:vertAlign w:val="superscript"/>
        </w:rPr>
        <w:t>14</w:t>
      </w:r>
      <w:r>
        <w:rPr>
          <w:rFonts w:ascii="Times New Roman" w:hAnsi="Times New Roman"/>
          <w:sz w:val="24"/>
        </w:rPr>
        <w:t xml:space="preserve"> and all findings are model-bound. Because a single clone cannot represent the peptidergic/non-peptidergic/NF subtypes of adult DRG, the term "human sensory neurons" in this paper should be read as "this embryonic clonal line."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(the CCN1/CCN2 alias sensitivity, §3.2, leaves the M3 null unchanged); the absence of TRPV4 and STOML3, the most mechanosensitive members of M1, means the mechanogated module was not fully tested for mechanical-gating function; moreover P2RX3, a purinergic rather than mechanically gated receptor, dominates M1, so the "mechanogated" inference rests largely on PIEZO2, whose gene-level response was a resolution-limited null; SCN10A/Nav1.8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module-level E1 suppression under exosomes, while its E1-selective aspect is nominal and gene-level (see xi), and requires confirmation in independent models. (vii) The analysis is hypothesis-generating throughout: no causal, mechanistic, or therapeutic claim is made. (viii) Exosome identity and cargo were not verified in this reanalysis; the neuronal response could reflect co-isolated soluble factors (cytokines, lipoproteins, free nucleic acids, ATP) rather than vesicular cargo, since standard serum-exosome preparations co-isolate such factors and no depletion/vesicle-disruption control was performed. (ix) SCN10A/Nav1.8 baseline differed markedly between the two GSE342782 experiments, mean CPM 7.23 in DirectInf versus 0.55 in SeraExo, a ~13-fold difference, constraining cross-experiment comparability of the E1 module; PIEZO2 showed a smaller but non-trivial cross-experiment difference (245.2 versus 164.1 CPM, ~1.5-fold), so M1 comparisons across the two experiments are likewise descriptive. (x) The source study's reported up-regulation of substance P was not reproduced here (TAC1 +0.22 log2CPM, P = 0.38, under HZ exosomes); the present data show only the channel-downregulation pattern.</w:t>
      </w:r>
    </w:p>
    <w:p>
      <w:pPr>
        <w:spacing w:line="480" w:lineRule="auto"/>
      </w:pPr>
      <w:r>
        <w:rPr>
          <w:rFonts w:ascii="Times New Roman" w:hAnsi="Times New Roman"/>
          <w:sz w:val="24"/>
        </w:rPr>
        <w:t>Three further constraints are noted. (xi) The E1 signal is not separable from the neutral N1 control at the module level: N1 itself shifted by -0.156 log2CPM under HZ exosomes (permutation P = 0.151) versus E1 -0.220 (P = 0.013), and their difference gives E1 - N1 = -0.064 (P = 0.178). Any claim of channel-class selectivity is therefore nominal and gene-level, not a demonstrated module-level dissociation. (xii) Substrate stiffness, the primary determinant of cellular mechanotransduction, was neither manipulated nor measured: the neurons were cultured on standard plastic, so the absence of an ECM-Hippo response may reflect an unphysiological mechanical set-point rather than neuronal insensitivity. (xiii) The preparation is neurons alone; satellite glia, immune cells and spinal circuitry, the compartments in which PHN allodynia is generated and maintained, are absent, and the exosome dose was not independently quantified or dose-ranged, so no dose-response inference is possible. (xiv) Module scores are unweighted means of log2(1+CPM) across panel genes; alternative scorings (rank-based, gene-weighted, or first principal component) were not tested, so the module-level P values are conditional on this scoring choice, one reason the gene-level results are reported alongside every module-level claim. (xv) All findings are transcriptional: no protein abundance, membrane localization, or electrophysiological measurement was performed, so channel function, the quantity relevant to allodynia, is not directly assessed. (xvi) Whether the exosome-treated replicates represent independent donor sera or include technical replicates cannot be determined from the public metadata; the effective sample size, and hence the minimum detectable effect, is conditional on their independence.</w:t>
      </w:r>
    </w:p>
    <w:p>
      <w:r>
        <w:rPr>
          <w:rFonts w:ascii="Times New Roman" w:hAnsi="Times New Roman"/>
          <w:b/>
          <w:i w:val="0"/>
          <w:sz w:val="25"/>
        </w:rPr>
        <w:t>5. Conclusions</w:t>
      </w:r>
    </w:p>
    <w:p>
      <w:pPr>
        <w:spacing w:line="480" w:lineRule="auto"/>
      </w:pPr>
      <w:r>
        <w:rPr>
          <w:rFonts w:ascii="Times New Roman" w:hAnsi="Times New Roman"/>
          <w:sz w:val="24"/>
        </w:rPr>
        <w:t>In a prospectively specified reanalysis of the only available human sensory-neuron resource covering VZV infection and patient-derived serum exosomes, acute-HZ serum exosomes produced a route-dependent down-regulation of the electrogenic nociceptor program that, at the gene level and on a nominal basis, was not matched by the mechanically gated one (TRPV1 significant after within-E1 correction; KCNS1, SCN9A, ASIC1/2 nominally down; no M1 gene significant; M1 itself resolution-limited, flipping to significant when detected genes only are analyzed, P = 0.046), with route dependence formally supported by a route-by-program difference-in-differences (-0.193 log2CPM; exact permutation P = 0.0011), while the ECM-Hippo stiffness program showed no detectable transcriptional response within a bounded null (minimum detectable effect 0.18 log2CPM), a negative result that redirects the mechanical-axis search toward non-neuronal compartments. The full-module interaction initially suggestive of selective E1 suppression (P = 0.0017) did not survive a detected-gene subset analysis (P = 0.16), so the channel-class imbalance is reported as gene-level and hypothesis-generating. The exploratory PHN-exosome contrast was non-specific and confounded by donor age and sex, and is reported as such. The relevance of these shifts to mechanical allodynia in PHN is hypothesis-generating and model-bound: all conclusions derive from a 36-h exposure of an immortalized embryonic dorsal-root-ganglion line and cannot be extrapolated to chronic PHN in living patients, but they frame a testable clinical question, whether the HZ-exosome channel-suppressive signature predicts progression to PHN.</w:t>
      </w:r>
    </w:p>
    <w:p>
      <w:r>
        <w:rPr>
          <w:rFonts w:ascii="Times New Roman" w:hAnsi="Times New Roman"/>
          <w:b/>
          <w:i w:val="0"/>
          <w:sz w:val="25"/>
        </w:rPr>
        <w:t>Data availability</w:t>
      </w:r>
    </w:p>
    <w:p>
      <w:pPr>
        <w:spacing w:line="480" w:lineRule="auto"/>
      </w:pPr>
      <w:r>
        <w:rPr>
          <w:rFonts w:ascii="Times New Roman" w:hAnsi="Times New Roman"/>
          <w:sz w:val="24"/>
        </w:rPr>
        <w:t>GSE342782 (processed RSEM counts and series metadata): https://ftp.ncbi.nlm.nih.gov/geo/series/GSE342nnn/GSE342782/</w:t>
      </w:r>
    </w:p>
    <w:p>
      <w:pPr>
        <w:spacing w:line="480" w:lineRule="auto"/>
      </w:pPr>
      <w:r>
        <w:rPr>
          <w:rFonts w:ascii="Times New Roman" w:hAnsi="Times New Roman"/>
          <w:sz w:val="24"/>
        </w:rPr>
        <w:t>Reproducibility package (analysis scripts, frozen panel `mtp-frozen-2026-10-19`, result JSON/CSV with SHA-256 MANIFEST, all figures): https://github.com/yyx-4113/mechano-phn-gse342782-reanalysis (tag v1.1.9, the version of this manuscript).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pPr>
        <w:spacing w:line="480" w:lineRule="auto"/>
      </w:pPr>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w:t>
      </w:r>
      <w:r>
        <w:rPr>
          <w:rFonts w:ascii="Times New Roman" w:hAnsi="Times New Roman"/>
          <w:sz w:val="24"/>
          <w:vertAlign w:val="superscript"/>
        </w:rPr>
        <w:t>6</w:t>
      </w:r>
    </w:p>
    <w:p>
      <w:r>
        <w:rPr>
          <w:rFonts w:ascii="Times New Roman" w:hAnsi="Times New Roman"/>
          <w:b/>
          <w:i w:val="0"/>
          <w:sz w:val="25"/>
        </w:rPr>
        <w:t>Consent for publication</w:t>
      </w:r>
    </w:p>
    <w:p>
      <w:pPr>
        <w:spacing w:line="480" w:lineRule="auto"/>
      </w:pPr>
      <w:r>
        <w:rPr>
          <w:rFonts w:ascii="Times New Roman" w:hAnsi="Times New Roman"/>
          <w:sz w:val="24"/>
        </w:rPr>
        <w:t>Not applicable.</w:t>
      </w:r>
    </w:p>
    <w:p>
      <w:r>
        <w:rPr>
          <w:rFonts w:ascii="Times New Roman" w:hAnsi="Times New Roman"/>
          <w:b/>
          <w:i w:val="0"/>
          <w:sz w:val="25"/>
        </w:rPr>
        <w:t>Author contributions</w:t>
      </w:r>
    </w:p>
    <w:p>
      <w:pPr>
        <w:spacing w:line="480" w:lineRule="auto"/>
      </w:pPr>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pPr>
        <w:spacing w:line="480" w:lineRule="auto"/>
      </w:pPr>
      <w:r>
        <w:rPr>
          <w:rFonts w:ascii="Times New Roman" w:hAnsi="Times New Roman"/>
          <w:sz w:val="24"/>
        </w:rPr>
        <w:t>None.</w:t>
      </w:r>
    </w:p>
    <w:p>
      <w:r>
        <w:rPr>
          <w:rFonts w:ascii="Times New Roman" w:hAnsi="Times New Roman"/>
          <w:b/>
          <w:i w:val="0"/>
          <w:sz w:val="25"/>
        </w:rPr>
        <w:t>Declaration of interests</w:t>
      </w:r>
    </w:p>
    <w:p>
      <w:pPr>
        <w:spacing w:line="480" w:lineRule="auto"/>
      </w:pPr>
      <w:r>
        <w:rPr>
          <w:rFonts w:ascii="Times New Roman" w:hAnsi="Times New Roman"/>
          <w:sz w:val="24"/>
        </w:rPr>
        <w:t>None declared.</w:t>
      </w:r>
    </w:p>
    <w:p>
      <w:r>
        <w:rPr>
          <w:rFonts w:ascii="Times New Roman" w:hAnsi="Times New Roman"/>
          <w:b/>
          <w:i w:val="0"/>
          <w:sz w:val="25"/>
        </w:rPr>
        <w:t>Funding</w:t>
      </w:r>
    </w:p>
    <w:p>
      <w:pPr>
        <w:spacing w:line="480" w:lineRule="auto"/>
      </w:pPr>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Johnson RW, Rice AS. Postherpetic neuralgia. N Engl J Med. 2014;371(16):1526-1533. doi:10.1056/NEJMcp1403062. PMID: 25317872.</w:t>
      </w:r>
    </w:p>
    <w:p>
      <w:r>
        <w:rPr>
          <w:rFonts w:ascii="Times New Roman" w:hAnsi="Times New Roman"/>
          <w:b w:val="0"/>
          <w:i w:val="0"/>
          <w:sz w:val="22"/>
        </w:rPr>
        <w:t>[2] Dworkin RH, O'Connor AB, Backonja M, et al. Pharmacologic management of neuropathic pain: evidence-based recommendations. Pain. 2007;132(3):237-251. doi:10.1016/j.pain.2007.08.033. PMID: 17920770.</w:t>
      </w:r>
    </w:p>
    <w:p>
      <w:r>
        <w:rPr>
          <w:rFonts w:ascii="Times New Roman" w:hAnsi="Times New Roman"/>
          <w:b w:val="0"/>
          <w:i w:val="0"/>
          <w:sz w:val="22"/>
        </w:rPr>
        <w:t>[3] Liang X, Fan Y. Bidirectional two-sample Mendelian randomization analysis reveals a causal effect of interleukin-18 levels on postherpetic neuralgia risk. Front Immunol. 2023;14:1183378. doi:10.3389/fimmu.2023.1183378. PMID: 37304287.</w:t>
      </w:r>
    </w:p>
    <w:p>
      <w:r>
        <w:rPr>
          <w:rFonts w:ascii="Times New Roman" w:hAnsi="Times New Roman"/>
          <w:b w:val="0"/>
          <w:i w:val="0"/>
          <w:sz w:val="22"/>
        </w:rPr>
        <w:t>[4] Wang C, Zhang K, Bao Y,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[5] Gershon AA, Breuer J, Cohen JI, et al. Varicella zoster virus infection. Nat Rev Dis Primers. 2015;1:15016. doi:10.1038/nrdp.2015.16. PMID: 27188665.</w:t>
      </w:r>
    </w:p>
    <w:p>
      <w:r>
        <w:rPr>
          <w:rFonts w:ascii="Times New Roman" w:hAnsi="Times New Roman"/>
          <w:b w:val="0"/>
          <w:i w:val="0"/>
          <w:sz w:val="22"/>
        </w:rPr>
        <w:t>[6] Niemeyer CS, Frietze S, Lewis SWR, et al. Circulating exosomes drive persistent neuronal dysfunction in post-herpetic neuralgia patients. Ann Neurol. 2026. doi:10.1002/ana.78352. PMID: 42734212.</w:t>
      </w:r>
    </w:p>
    <w:p>
      <w:r>
        <w:rPr>
          <w:rFonts w:ascii="Times New Roman" w:hAnsi="Times New Roman"/>
          <w:b w:val="0"/>
          <w:i w:val="0"/>
          <w:sz w:val="22"/>
        </w:rPr>
        <w:t>[7] Yeon JE, Ryu KH, Cho EA, et al. Efficacy of extracorporeal shockwave therapy for postherpetic neuralgia. Pain Pract. 2025;25(8):e70085. doi:10.1111/papr.70085. PMID: 41091131.</w:t>
      </w:r>
    </w:p>
    <w:p>
      <w:r>
        <w:rPr>
          <w:rFonts w:ascii="Times New Roman" w:hAnsi="Times New Roman"/>
          <w:b w:val="0"/>
          <w:i w:val="0"/>
          <w:sz w:val="22"/>
        </w:rPr>
        <w:t>[8] Lee SH, Ryu KH, Kim PO,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[10] Chen L, Zhou R, Sun F, Weng Y, Ye L, Yang P. Efficacy and safety of the extracorporeal shockwave therapy in patients with postherpetic neuralgia: study protocol of a randomized controlled trial. Trials. 2020;21(1):630. doi:10.1186/s13063-020-04564-z. PMID: 32641142.</w:t>
      </w:r>
    </w:p>
    <w:p>
      <w:r>
        <w:rPr>
          <w:rFonts w:ascii="Times New Roman" w:hAnsi="Times New Roman"/>
          <w:b w:val="0"/>
          <w:i w:val="0"/>
          <w:sz w:val="22"/>
        </w:rPr>
        <w:t>[11]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[12] Pan Y, Shi LZ, Yoon CW, et al. Mechanosensor Piezo1 mediates bimodal patterns of intracellular calcium and FAK signaling. EMBO J. 2022;41(17):e111799. doi:10.15252/embj.2022111799. PMID: 35844093.</w:t>
      </w:r>
    </w:p>
    <w:p>
      <w:r>
        <w:rPr>
          <w:rFonts w:ascii="Times New Roman" w:hAnsi="Times New Roman"/>
          <w:b w:val="0"/>
          <w:i w:val="0"/>
          <w:sz w:val="22"/>
        </w:rPr>
        <w:t>[13] Li B, Dewey CN. RSEM: accurate transcript quantification from RNA-Seq data with or without a reference genome. BMC Bioinformatics. 2011;12:323. doi:10.1186/1471-2105-12-323. PMID: 21816040.</w:t>
      </w:r>
    </w:p>
    <w:p>
      <w:r>
        <w:rPr>
          <w:rFonts w:ascii="Times New Roman" w:hAnsi="Times New Roman"/>
          <w:b w:val="0"/>
          <w:i w:val="0"/>
          <w:sz w:val="22"/>
        </w:rPr>
        <w:t>[14] Nguyen MQ, von Buchholtz LJ, Reker AN, Ryba NJP, Davidson S. Single-nucleus transcriptomic analysis of human dorsal root ganglion neurons. Elife. 2021;10:e71752. doi:10.7554/eLife.71752. PMID: 34825887.</w:t>
      </w:r>
    </w:p>
    <w:p>
      <w:r>
        <w:rPr>
          <w:rFonts w:ascii="Times New Roman" w:hAnsi="Times New Roman"/>
          <w:b w:val="0"/>
          <w:i w:val="0"/>
          <w:sz w:val="22"/>
        </w:rPr>
        <w:t>[15] Benjamini Y, Hochberg Y. Controlling the false discovery rate: a practical and powerful approach to multiple testing. J R Stat Soc B. 1995;57(1):289-300.</w:t>
      </w:r>
    </w:p>
    <w:p>
      <w:r>
        <w:rPr>
          <w:rFonts w:ascii="Times New Roman" w:hAnsi="Times New Roman"/>
          <w:b w:val="0"/>
          <w:i w:val="0"/>
          <w:sz w:val="22"/>
        </w:rPr>
        <w:t>[16] Raymon HK, Thode S, Zhou J,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[17] Haberberger RV, Barry C, Matusica D. Immortalized dorsal root ganglion neuron cell lines. Front Cell Neurosci. 2020;14:184. doi:10.3389/fncel.2020.00184. PMID: 32636736.</w:t>
      </w:r>
    </w:p>
    <w:p>
      <w:r>
        <w:rPr>
          <w:rFonts w:ascii="Times New Roman" w:hAnsi="Times New Roman"/>
          <w:b w:val="0"/>
          <w:i w:val="0"/>
          <w:sz w:val="22"/>
        </w:rPr>
        <w:t>[18] Woo SH, Ranade S, Weyer AD, et al. Piezo2 is required for Merkel-cell mechanotransduction. Nature. 2014;509(7502):622-626. doi:10.1038/nature13251. PMID: 24717433.</w:t>
      </w:r>
    </w:p>
    <w:p>
      <w:r>
        <w:rPr>
          <w:rFonts w:ascii="Times New Roman" w:hAnsi="Times New Roman"/>
          <w:b w:val="0"/>
          <w:i w:val="0"/>
          <w:sz w:val="22"/>
        </w:rPr>
        <w:t>[19] Coste B, Mathur J, Schmidt M, et al. Piezo1 and Piezo2 are essential components of distinct mechanically activated cation channels. Science. 2010;330(6001):55-60. doi:10.1126/science.1193270. PMID: 20813920.</w:t>
      </w:r>
    </w:p>
    <w:p>
      <w:r>
        <w:rPr>
          <w:rFonts w:ascii="Times New Roman" w:hAnsi="Times New Roman"/>
          <w:b w:val="0"/>
          <w:i w:val="0"/>
          <w:sz w:val="22"/>
        </w:rPr>
        <w:t>[20] Ranade SS, Woo SH, Dubin AE, et al. Piezo2 is the major transducer of mechanical forces for touch sensation in mice. Nature. 2014;516(7529):121-125. doi:10.1038/nature13980. PMID: 25471886.</w:t>
      </w:r>
    </w:p>
    <w:p>
      <w:r>
        <w:rPr>
          <w:rFonts w:ascii="Times New Roman" w:hAnsi="Times New Roman"/>
          <w:b w:val="0"/>
          <w:i w:val="0"/>
          <w:sz w:val="22"/>
        </w:rPr>
        <w:t>[21] Sánchez-Carranza O, Chakrabarti S, Kühnemund J, et al. Piezo2 voltage-block regulates mechanical pain sensitivity. Brain. 2024;147(10):3487-3500. doi:10.1093/brain/awae227. PMID: 38984717.</w:t>
      </w:r>
    </w:p>
    <w:p>
      <w:r>
        <w:rPr>
          <w:rFonts w:ascii="Times New Roman" w:hAnsi="Times New Roman"/>
          <w:b w:val="0"/>
          <w:i w:val="0"/>
          <w:sz w:val="22"/>
        </w:rPr>
        <w:t>[22] Murthy SE, Loud MC, Daou I, et al. The mechanosensitive ion channel Piezo2 mediates sensitivity to mechanical pain in mice. Sci Transl Med. 2018;10(462):eaat9897. doi:10.1126/scitranslmed.aat9897. PMID: 30305457.</w:t>
      </w:r>
    </w:p>
    <w:p>
      <w:r>
        <w:rPr>
          <w:rFonts w:ascii="Times New Roman" w:hAnsi="Times New Roman"/>
          <w:b w:val="0"/>
          <w:i w:val="0"/>
          <w:sz w:val="22"/>
        </w:rPr>
        <w:t>[23] Chesler AT, Szczot M, Bharucha-Goebel D, et al. The role of PIEZO2 in human mechanosensation. N Engl J Med. 2016;375(14):1355-1364. doi:10.1056/NEJMoa1602812. PMID: 27653382.</w:t>
      </w:r>
    </w:p>
    <w:p>
      <w:r>
        <w:rPr>
          <w:rFonts w:ascii="Times New Roman" w:hAnsi="Times New Roman"/>
          <w:b w:val="0"/>
          <w:i w:val="0"/>
          <w:sz w:val="22"/>
        </w:rPr>
        <w:t>[24] Cox JJ, Reimann F, Nicholas AK, et al. An SCN9A channelopathy causes congenital inability to experience pain. Nature. 2006;444(7121):894-898. doi:10.1038/nature05413. PMID: 17167479.</w:t>
      </w:r>
    </w:p>
    <w:p>
      <w:r>
        <w:rPr>
          <w:rFonts w:ascii="Times New Roman" w:hAnsi="Times New Roman"/>
          <w:b w:val="0"/>
          <w:i w:val="0"/>
          <w:sz w:val="22"/>
        </w:rPr>
        <w:t>[25] Simeoli R, Montague K, Jones HR, et al. Exosomal cargo including microRNA regulates sensory neuron to macrophage communication after nerve trauma. Nat Commun. 2017;8(1):1778. doi:10.1038/s41467-017-01841-5. PMID: 29176651.</w:t>
      </w:r>
    </w:p>
    <w:p>
      <w:r>
        <w:rPr>
          <w:rFonts w:ascii="Times New Roman" w:hAnsi="Times New Roman"/>
          <w:b w:val="0"/>
          <w:i w:val="0"/>
          <w:sz w:val="22"/>
        </w:rPr>
        <w:t>[26] Picco F, Zeboudj L, Oggero S, et al. Macrophage to neuron communication via extracellular vesicles in neuropathic pain conditions. Heliyon. 2025;11(1):e41268. doi:10.1016/j.heliyon.2024.e41268. PMID: 39811367.</w:t>
      </w:r>
    </w:p>
    <w:p>
      <w:r>
        <w:rPr>
          <w:rFonts w:ascii="Times New Roman" w:hAnsi="Times New Roman"/>
          <w:b w:val="0"/>
          <w:i w:val="0"/>
          <w:sz w:val="22"/>
        </w:rPr>
        <w:t>[27] Xie X, Bi S, Su B, et al. Early radial extracorporeal shockwave stimulation on proximal tibial circular osteotomy site enhanced heterotopic skin wound healing via small extracellular vesicles. Adv Sci (Weinh). 2026;13(16):e17257. doi:10.1002/advs.202517257. PMID: 41504389. (Data: GSE314229.)</w:t>
      </w:r>
    </w:p>
    <w:sectPr w:rsidR="00FC693F" w:rsidRPr="0006063C" w:rsidSect="00034616">
      <w:footerReference w:type="default" r:id="rId14"/>
      <w:pgSz w:w="12240" w:h="15840"/>
      <w:pgMar w:top="1440" w:right="1800" w:bottom="1440" w:left="1800" w:header="720" w:footer="720" w:gutter="0"/>
      <w:cols w:space="720"/>
      <w:docGrid w:linePitch="360"/>
      <w:lnNumType w:countBy="1" w:start="1" w:num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