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human sensory neurons: a prospectively specified reanalysis of GSE342782</w:t>
      </w:r>
    </w:p>
    <w:p>
      <w:r>
        <w:rPr>
          <w:rFonts w:ascii="Times New Roman" w:hAnsi="Times New Roman"/>
          <w:b/>
          <w:i w:val="0"/>
          <w:sz w:val="24"/>
        </w:rPr>
        <w:t>Yongxin Yang, B.M.</w:t>
      </w:r>
    </w:p>
    <w:p>
      <w:r>
        <w:rPr>
          <w:rFonts w:ascii="Times New Roman" w:hAnsi="Times New Roman"/>
          <w:sz w:val="24"/>
        </w:rPr>
        <w:t>The Second Affiliated Hospital of Fujian University of Traditional Chinese Medicine, Fuzhou, Fujian 350003, China</w:t>
      </w:r>
    </w:p>
    <w:p>
      <w:r>
        <w:rPr>
          <w:rFonts w:ascii="Times New Roman" w:hAnsi="Times New Roman"/>
          <w:sz w:val="24"/>
        </w:rPr>
        <w:t>Correspondence: 960856791@qq.com | ORCID: 0009-0004-9698-6552</w:t>
      </w:r>
    </w:p>
    <w:p>
      <w:r>
        <w:rPr>
          <w:rFonts w:ascii="Times New Roman" w:hAnsi="Times New Roman"/>
          <w:sz w:val="24"/>
        </w:rPr>
        <w:t>Running title: Route-dependent channel programs in VZV-exposed sensory neurons</w:t>
      </w:r>
    </w:p>
    <w:p>
      <w:r>
        <w:rPr>
          <w:rFonts w:ascii="Times New Roman" w:hAnsi="Times New Roman"/>
          <w:b/>
          <w:i w:val="0"/>
          <w:sz w:val="25"/>
        </w:rPr>
        <w:t>Abstract</w:t>
      </w:r>
    </w:p>
    <w:p>
      <w:r>
        <w:rPr>
          <w:rFonts w:ascii="Times New Roman" w:hAnsi="Times New Roman"/>
          <w:b/>
          <w:sz w:val="24"/>
        </w:rPr>
        <w:t>Background.</w:t>
      </w:r>
      <w:r>
        <w:rPr>
          <w:rFonts w:ascii="Times New Roman" w:hAnsi="Times New Roman"/>
          <w:sz w:val="24"/>
        </w:rPr>
        <w:t xml:space="preserve"> Mechanical allodynia is a cardinal symptom of postherpetic neuralgia (PHN), yet the mechanotransduction dimension is seldom examined in the PHN transcriptomic literature. GSE342782 — bulk RNA-sequencing of human sensory neurons exposed to direct VZV infection or to serum exosomes from healthy controls, acute HZ, and PHN patients — enables a mechano-transcriptional test.</w:t>
      </w:r>
    </w:p>
    <w:p>
      <w:r>
        <w:rPr>
          <w:rFonts w:ascii="Times New Roman" w:hAnsi="Times New Roman"/>
          <w:b/>
          <w:sz w:val="24"/>
        </w:rPr>
        <w:t>Methods.</w:t>
      </w:r>
      <w:r>
        <w:rPr>
          <w:rFonts w:ascii="Times New Roman" w:hAnsi="Times New Roman"/>
          <w:sz w:val="24"/>
        </w:rPr>
        <w:t xml:space="preserve"> We fixed a frozen four-module mechano-transduction panel (M1 mechanogated; M2 membrane-cytoskeleton; M3 ECM-integrin-Hippo; M4 mechano-effectors) with an electrochemical nociceptor module (E1) and three neutral controls (N1-N3) before analysis. The single primary endpoint was the M3 module-score difference between acute-HZ-serum and control exosomes. Inference used Welch's </w:t>
      </w:r>
      <w:r>
        <w:rPr>
          <w:rFonts w:ascii="Times New Roman" w:hAnsi="Times New Roman"/>
          <w:i/>
          <w:sz w:val="24"/>
        </w:rPr>
        <w:t>t</w:t>
      </w:r>
      <w:r>
        <w:rPr>
          <w:rFonts w:ascii="Times New Roman" w:hAnsi="Times New Roman"/>
          <w:sz w:val="24"/>
        </w:rPr>
        <w:t xml:space="preserve">, Mann-Whitney </w:t>
      </w:r>
      <w:r>
        <w:rPr>
          <w:rFonts w:ascii="Times New Roman" w:hAnsi="Times New Roman"/>
          <w:i/>
          <w:sz w:val="24"/>
        </w:rPr>
        <w:t>U</w:t>
      </w:r>
      <w:r>
        <w:rPr>
          <w:rFonts w:ascii="Times New Roman" w:hAnsi="Times New Roman"/>
          <w:sz w:val="24"/>
        </w:rPr>
        <w:t>, and exact label-permutation nulls with Benjamini-Hochberg correction across eight modules.</w:t>
      </w:r>
    </w:p>
    <w:p>
      <w:r>
        <w:rPr>
          <w:rFonts w:ascii="Times New Roman" w:hAnsi="Times New Roman"/>
          <w:b/>
          <w:sz w:val="24"/>
        </w:rPr>
        <w:t>Results.</w:t>
      </w:r>
      <w:r>
        <w:rPr>
          <w:rFonts w:ascii="Times New Roman" w:hAnsi="Times New Roman"/>
          <w:sz w:val="24"/>
        </w:rPr>
        <w:t xml:space="preserve"> The primary endpoint was a bounded null: M3 did not shift under HZ-serum exosomes (difference -0.049 log2CPM; permutation P = 0.42; 95% CI -0.18 to +0.08; minimum detectable effect 0.18 log2CPM). The secondary endpoint showed channel-class-selective suppression: HZ-serum exosomes down-regulated electrochemical nociceptor channels (E1, -0.220 log2CPM; P = 0.013; q = 0.034; driven by TRPV1, SCN9A, ASIC1/2); the mechanogated module was not down (M1, P = 0.11; PIEZO2 P = 0.18). An interaction test suggested E1-selective suppression (P = 0.0017) but not after restriction to detected genes (P = 0.16); the imbalance is gene-level and hypothesis-generating. The exploratory PHN-exosome contrast was non-specific and confounded by donor age and sex.</w:t>
      </w:r>
    </w:p>
    <w:p>
      <w:r>
        <w:rPr>
          <w:rFonts w:ascii="Times New Roman" w:hAnsi="Times New Roman"/>
          <w:b/>
          <w:sz w:val="24"/>
        </w:rPr>
        <w:t>Conclusions.</w:t>
      </w:r>
      <w:r>
        <w:rPr>
          <w:rFonts w:ascii="Times New Roman" w:hAnsi="Times New Roman"/>
          <w:sz w:val="24"/>
        </w:rPr>
        <w:t xml:space="preserve"> In human sensory neurons, acute-HZ serum exosomes produce route-dependent, channel-class-selective suppression of the electrogenic nociceptor program over the mechanogated one, whereas the ECM-Hippo stiffness program is transcriptionally inert within a bounded null. The allodynia relevance of this shift is hypothesis-generating and model-bound.</w:t>
      </w:r>
    </w:p>
    <w:p>
      <w:r>
        <w:rPr>
          <w:rFonts w:ascii="Times New Roman" w:hAnsi="Times New Roman"/>
          <w:b/>
          <w:sz w:val="24"/>
        </w:rPr>
        <w:t>Registration.</w:t>
      </w:r>
      <w:r>
        <w:rPr>
          <w:rFonts w:ascii="Times New Roman" w:hAnsi="Times New Roman"/>
          <w:sz w:val="24"/>
        </w:rPr>
        <w:t xml:space="preserve"> The analysis plan, frozen panel, and endpoint hierarchy were fixed before data examination and deposited in a versioned public protocol (protocol v0.4; frozen panel tag `mtp-frozen-2026-10-19`); no external registry entry exists.</w:t>
      </w:r>
    </w:p>
    <w:p>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 [1,20]. Mendelian-randomization analyses have begun to map the causal determinants of PHN risk [2]. The symptom is, at its core, a disturbance of mechanotransduction, yet the genomic literature of PHN has seldom examined it through that lens. Published bioinformatic reanalyses of PHN cohorts have concentrated on interferon, immune, and inflammatory programs [1]; none has systematically interrogated the mechanotransduction machinery — mechanogated ion channels, the membrane-cytoskeleton interface, or the extracellular-matrix (ECM)-integrin-Hippo axis.</w:t>
      </w:r>
    </w:p>
    <w:p>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 [3]. The original study reported down-regulation of canonical nociceptive ion channels, induction of substance-P-related neuropeptides, and ECM-remodelling signals, but did not examine these findings through a mechanotransduction lens. Second, extracorporeal shockwave therapy (ESWT) — the deliberate application of controlled mechanical stress — has shown some benefit in herpetic neuralgia in small trials [4,7-9], and its molecular mechanism has been mapped onto integrin-FAK-p38MAPK and Piezo/TRP signaling [10,11]. The same mechanical axis appears at both the disease end (allodynia) and the treatment end (mechanotherapy) of PHN, yet no study has connected them transcriptomically.</w:t>
      </w:r>
    </w:p>
    <w:p>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 the hypothesized core of the mechanical axis —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r>
        <w:rPr>
          <w:rFonts w:ascii="Times New Roman" w:hAnsi="Times New Roman"/>
          <w:sz w:val="24"/>
        </w:rPr>
        <w:t>GSE342782 (GEO accession GSE342782; BioProject PRJNA1508885) comprises two experiments in differentiated HD10.6 human sensory neurons [3].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r>
        <w:rPr>
          <w:rFonts w:ascii="Times New Roman" w:hAnsi="Times New Roman"/>
          <w:sz w:val="24"/>
        </w:rPr>
        <w:t>Before any expression data were examined, the following were fixed in writing and deposited in a versioned public protocol (protocol v0.4; panel tag `mtp-frozen-2026-10-19`):</w:t>
      </w:r>
    </w:p>
    <w:p>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 [3], the PHN contrast was pre-designated exploratory and the HZ-versus-control contrast was designated the primary comparison.</w:t>
      </w:r>
    </w:p>
    <w:p>
      <w:r>
        <w:rPr>
          <w:rFonts w:ascii="Times New Roman" w:hAnsi="Times New Roman"/>
          <w:b/>
          <w:i w:val="0"/>
          <w:sz w:val="24"/>
        </w:rPr>
        <w:t>2.3 Preprocessing and module scoring</w:t>
      </w:r>
    </w:p>
    <w:p>
      <w:r>
        <w:rPr>
          <w:rFonts w:ascii="Times New Roman" w:hAnsi="Times New Roman"/>
          <w:sz w:val="24"/>
        </w:rPr>
        <w:t>Counts were converted to counts-per-million (CPM) and module scores computed as the mean log2(1 + CPM) across panel genes present in the matrix. Detection was defined as CPM &gt; 1.</w:t>
      </w:r>
    </w:p>
    <w:p>
      <w:r>
        <w:rPr>
          <w:rFonts w:ascii="Times New Roman" w:hAnsi="Times New Roman"/>
          <w:b/>
          <w:i w:val="0"/>
          <w:sz w:val="24"/>
        </w:rPr>
        <w:t>2.4 Statistical testing</w:t>
      </w:r>
    </w:p>
    <w:p>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are reported as Welch </w:t>
      </w:r>
      <w:r>
        <w:rPr>
          <w:rFonts w:ascii="Times New Roman" w:hAnsi="Times New Roman"/>
          <w:i/>
          <w:sz w:val="24"/>
        </w:rPr>
        <w:t>t</w:t>
      </w:r>
      <w:r>
        <w:rPr>
          <w:rFonts w:ascii="Times New Roman" w:hAnsi="Times New Roman"/>
          <w:sz w:val="24"/>
        </w:rPr>
        <w:t>-tests on log2(1 + CPM) values and are presented as descriptive support for the module-level findings, not as separately corrected discovery claims.</w:t>
      </w:r>
    </w:p>
    <w:p>
      <w:r>
        <w:rPr>
          <w:rFonts w:ascii="Times New Roman" w:hAnsi="Times New Roman"/>
          <w:b/>
          <w:i w:val="0"/>
          <w:sz w:val="24"/>
        </w:rPr>
        <w:t>2.5 Reproducibility</w:t>
      </w:r>
    </w:p>
    <w:p>
      <w:r>
        <w:rPr>
          <w:rFonts w:ascii="Times New Roman" w:hAnsi="Times New Roman"/>
          <w:sz w:val="24"/>
        </w:rPr>
        <w:t>All analyses were executed in Python 3.13 (pandas 2.3.3, SciPy 1.18.1, Matplotlib 3.11.1). Every result file carries a SHA-256 manifest linking it to the exact input files and the frozen panel. All numerical values quoted in this manuscript are traceable to `layer1_results.json` in the reproducibility package.</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r>
        <w:rPr>
          <w:rFonts w:ascii="Times New Roman" w:hAnsi="Times New Roman"/>
          <w:sz w:val="24"/>
        </w:rPr>
        <w:t>The prospectively specified data-examination gate established the expression baseline of the model (Table 1). The HD10.6 line — a tetracycline-regulatable v-myc immortalized embryonic dorsal root ganglion clonal line, not an iPSC-derived model [5,6] — expressed PIEZO2 at high levels (mean CPM 245.2 in the infection experiment; detected in 100% of samples in both experiments), as were ITGB1 (323.6 CPM) and the electrochemical nociceptor channels SCN9A (mean log2CPM 8.39) and TRPV1 (7.02).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 indicating genuine null aggregation rather than cancellation of a coherent shift. We emphasize that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 with channel-class selectivity</w:t>
      </w:r>
    </w:p>
    <w:p>
      <w:r>
        <w:rPr>
          <w:rFonts w:ascii="Times New Roman" w:hAnsi="Times New Roman"/>
          <w:sz w:val="24"/>
        </w:rPr>
        <w:t>Under the same primary contrast, the pre-specified secondary module E1 (electrochemical nociceptor channels) was significantly suppressed (-0.220 log2CPM; permutation P = 0.013; BH q = 0.034; 95% CI -0.38 to -0.06), whereas all four mechano-modules were not at the full-module level (M1 -0.078, P = 0.11; M2 -0.148, P = 0.068). Gene-level analysis showed a coherent downward shift across the classical nociceptor apparatus: TRPV1 (-0.567, P &lt; 0.001), KCNS1 (-0.393, P = 0.017), SCN9A (-0.323, P = 0.018), ASIC1 (-0.181, P = 0.019) and ASIC2 (-0.296, P = 0.042). By contrast, no mechanogated M1 gene reached individual significance (PIEZO2 P = 0.18, PIEZO1 P = 0.10, P2RX3 P = 0.076), establishing the channel-class imbalance at the gene level. SCN10A (Nav1.8) is excluded from this list: its mean CPM in the exosome experiment was 0.55 (detected in only 11% of samples), below the study's own detection threshold; descriptively its log2FC was -0.384, but this is reported as a floor-limited descriptive value and not treated as a confirmed signal. Critically, PIEZO2 — the dominant mechanogated channel of this model — was not suppressed (-0.282, P = 0.18; 95% CI for the gene-level difference approximately -0.72 to +0.15), a resolution-limited null at the gene level. This constitutes the "channel-imbalance" signature anticipated in the plan: dampening of electrochemical nociceptive output with non-significant mechanical-gating down-regulation — noting that the M1 null is resolution-limited, because restricting to detected genes flips M1 to significant (P = 0.046, §3.6).</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2b_cci.pn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2c_E1_genes.png"/>
                    <pic:cNvPicPr/>
                  </pic:nvPicPr>
                  <pic:blipFill>
                    <a:blip r:embed="rId12"/>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w:t>
      </w:r>
    </w:p>
    <w:p>
      <w:pPr>
        <w:jc w:val="center"/>
      </w:pPr>
      <w:r>
        <w:drawing>
          <wp:inline xmlns:a="http://schemas.openxmlformats.org/drawingml/2006/main" xmlns:pic="http://schemas.openxmlformats.org/drawingml/2006/picture">
            <wp:extent cx="5303520" cy="2456367"/>
            <wp:docPr id="5" name="Picture 5"/>
            <wp:cNvGraphicFramePr>
              <a:graphicFrameLocks noChangeAspect="1"/>
            </wp:cNvGraphicFramePr>
            <a:graphic>
              <a:graphicData uri="http://schemas.openxmlformats.org/drawingml/2006/picture">
                <pic:pic>
                  <pic:nvPicPr>
                    <pic:cNvPr id="0" name="fig2d_dissociation.png"/>
                    <pic:cNvPicPr/>
                  </pic:nvPicPr>
                  <pic:blipFill>
                    <a:blip r:embed="rId13"/>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r>
        <w:rPr>
          <w:rFonts w:ascii="Times New Roman" w:hAnsi="Times New Roman"/>
          <w:sz w:val="24"/>
        </w:rPr>
        <w:t>To test whether the route determines which channel program shifts, we computed the interaction (difference-in-differences) between the E1 and M1 module scores. For the exosome contrast, (E1 difference - M1 difference) = -0.142 log2CPM with exact permutation P = 0.0017; for the direct-infection contrast, (M1 difference - E1 difference) = -0.051 with exact permutation P = 0.19, so the reciprocal "M1-selective" pattern is not supported at the interaction level. However, the exosome interaction does not survive a fairness correction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The apparent full-module selectivity is therefore an artefact of module-composition dilution, not a confirmed biological dissociation. The channel-class imbalance is instead supported at the gene level, where E1 component genes were individually significantly down (TRPV1, SCN9A, ASIC1/2, KCNS1) whereas no M1 gene reached significance (PIEZO2 P = 0.18). We accordingly report the E1/M1 imbalance as gene-level and hypothesis-generating, not as a confirmed module-level selective suppression. We disclose that the contrast-of-contrasts interaction test was specified post hoc (not in the original frozen analysis plan) and is reported as exploratory; two routes were tested, so the nominal interaction P should be read with that multiplicity in mind (the Bonferroni-adjusted exosome interaction P = 0.0034 remains significant, but the detected-gene correction above renders the selectivity non-significant). The VZV picture remains weak and inconsistent: direct infection drove M1 downward (-0.050; Welch P = 0.047) while E1 was unchanged (+0.0005; P = 0.996), and individual E1 genes (TRPV1 P &lt; 0.01, SCN9A P = 0.024) nonetheless moved down — a borderline, incoherent signal read as hypothesis-generating.</w:t>
      </w:r>
    </w:p>
    <w:p>
      <w:r>
        <w:rPr>
          <w:rFonts w:ascii="Times New Roman" w:hAnsi="Times New Roman"/>
          <w:b/>
          <w:i w:val="0"/>
          <w:sz w:val="24"/>
        </w:rPr>
        <w:t>3.5 Exploratory PHN-exosome contrast: non-specific and confounded</w:t>
      </w:r>
    </w:p>
    <w:p>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 [3], we report this contrast as non-specific and confounded, and it plays no confirmatory role in our conclusions.</w:t>
      </w:r>
    </w:p>
    <w:p>
      <w:r>
        <w:rPr>
          <w:rFonts w:ascii="Times New Roman" w:hAnsi="Times New Roman"/>
          <w:b/>
          <w:i w:val="0"/>
          <w:sz w:val="24"/>
        </w:rPr>
        <w:t>3.6 Neutral controls, calibration, and reporting discipline</w:t>
      </w:r>
    </w:p>
    <w:p>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 response to exosome exposure, not as a neutral baseline. Third, N1 overlaps E1 by two genes (KCNQ2, KCNQ3) that move with E1 under PHN exosomes; the N1 "control" signal under PHN therefore shares machinery with the E1 signal and is disclosed as such. Global-shift diagnostics confirmed no genome-wide drift confounded the module scores: per-sample mean log2CPM values were near-identical across all 19 exosome samples (range 1.55 to 1.61). The CCI did not differ between groups under any contrast (all permutation P &gt;= 0.82),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5"/>
        </w:rPr>
        <w:t>4. Discussion</w:t>
      </w:r>
    </w:p>
    <w:p>
      <w:r>
        <w:rPr>
          <w:rFonts w:ascii="Times New Roman" w:hAnsi="Times New Roman"/>
          <w:b/>
          <w:i w:val="0"/>
          <w:sz w:val="24"/>
        </w:rPr>
        <w:t>4.1 A route-dependent, channel-class-selective signal — hypothesis-generating, not a proven allodynia substrate</w:t>
      </w:r>
    </w:p>
    <w:p>
      <w:r>
        <w:rPr>
          <w:rFonts w:ascii="Times New Roman" w:hAnsi="Times New Roman"/>
          <w:sz w:val="24"/>
        </w:rPr>
        <w:t>The central empirical contribution of this reanalysis is a gene-level channel-class imbalance: acute-HZ serum exosomes suppress the electrochemical nociceptor apparatus (TRPV1, Nav1.7, ASICs) more than the mechanogated one (E1 genes individually down; no M1 gene significant), while the ECM-Hippo stiffness program is inert within a bounded null. The full-module interaction that initially suggested selective E1 suppression (P = 0.0017) did not survive correction for detection-floor asymmetry between modules (detected-gene P = 0.16), so we do not present it as a confirmed dissociation. We deliberately do not present this as a transcriptomic "substrate for mechanical allodynia." The established mechanotransduction literature points the opposite way: allodynia is predominantly a gain of mechanosensory function — Piezo2 is a mechanotransduction channel (Woo et al., 2014) whose gain-of-function sensitizes nociceptors and increases mechanical pain sensitivity (Sánchez-Carranza et al., 2024), Piezo2 is required for mechanical pain in mice (Murthy et al., 2019) and human loss-of-function causes mechanosensation and tactile-allodynia defects (Chesler et al., 2016), and SCN9A loss-of-function causes congenital insensitivity to pain (Cox et al., 2006). Reduced electrochemical-channel expression in this neuronal model is therefore most parsimoniously a shift in signaling mode (the source study likewise reports down-regulated nociceptive channels and up-regulated substance P [3]) rather than a direct allodynia mechanism. The allodynia relevance of the observed shift is hypothesis-generating and model-bound, and requires in vivo validation before any causal claim.</w:t>
      </w:r>
    </w:p>
    <w:p>
      <w:r>
        <w:rPr>
          <w:rFonts w:ascii="Times New Roman" w:hAnsi="Times New Roman"/>
          <w:b/>
          <w:i w:val="0"/>
          <w:sz w:val="24"/>
        </w:rPr>
        <w:t>4.2 Route dependence and its implications</w:t>
      </w:r>
    </w:p>
    <w:p>
      <w:r>
        <w:rPr>
          <w:rFonts w:ascii="Times New Roman" w:hAnsi="Times New Roman"/>
          <w:sz w:val="24"/>
        </w:rPr>
        <w:t>The interaction test shows the route of perturbation matters, but asymmetrically: exosomes from acute zoster produce a robust, selective E1 suppression, whereas direct VZV infection does not produce a statistically supported selective M1 effect.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signaling.</w:t>
      </w:r>
    </w:p>
    <w:p>
      <w:r>
        <w:rPr>
          <w:rFonts w:ascii="Times New Roman" w:hAnsi="Times New Roman"/>
          <w:b/>
          <w:i w:val="0"/>
          <w:sz w:val="24"/>
        </w:rPr>
        <w:t>4.3 The inert stiffness program redirects the mechanical search</w:t>
      </w:r>
    </w:p>
    <w:p>
      <w:r>
        <w:rPr>
          <w:rFonts w:ascii="Times New Roman" w:hAnsi="Times New Roman"/>
          <w:sz w:val="24"/>
        </w:rPr>
        <w:t>Perhaps the most consequential finding for the mechanotransduction field is what did not move. The ECM-integrin-Hippo program — the transcriptional core of cellular mechanotransduction — was inert under every perturbation route, within a bounded null (MDE 0.18 log2CPM).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remodelling requires longer time constants. (iii) mRNA may be uncoupled from mechanotransduction, which is largely regulated post-translationally. Whichever applies, the practical redirection is the same: the mechanical axis in PHN should be pursued in non-neuronal compartments — DRG satellite glia, skin, and serum — and in spatially resolved tissue data. This reframing is relevant to mechanotherapy: the machinery engaged by ESWT (integrin-FAK-p38MAPK; Piezo/TRP signaling) resides in those compartments [10,11], and ESWT has shown benefit in herpetic neuralgia in small trials [4,7-9], although the largest randomized trial reported pain reduction without a significant time-by-group interaction [7]. We do not assert a YAP/TAZ-specific ESWT mechanism, which the cited works do not test.</w:t>
      </w:r>
    </w:p>
    <w:p>
      <w:r>
        <w:rPr>
          <w:rFonts w:ascii="Times New Roman" w:hAnsi="Times New Roman"/>
          <w:b/>
          <w:i w:val="0"/>
          <w:sz w:val="24"/>
        </w:rPr>
        <w:t>4.4 Limitations</w:t>
      </w:r>
    </w:p>
    <w:p>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(PIEZO2/P2RX3-high, TRPV4/STOML3-absent) differs from adult nociceptors, and all findings are model-bound.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SCN10A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w:t>
      </w:r>
    </w:p>
    <w:p>
      <w:r>
        <w:rPr>
          <w:rFonts w:ascii="Times New Roman" w:hAnsi="Times New Roman"/>
          <w:b/>
          <w:i w:val="0"/>
          <w:sz w:val="25"/>
        </w:rPr>
        <w:t>5. Conclusions</w:t>
      </w:r>
    </w:p>
    <w:p>
      <w:r>
        <w:rPr>
          <w:rFonts w:ascii="Times New Roman" w:hAnsi="Times New Roman"/>
          <w:sz w:val="24"/>
        </w:rPr>
        <w:t>In a prospectively specified reanalysis of the only available human sensory-neuron resource covering VZV infection and patient-derived serum exosomes, acute-HZ serum exosomes produced a route-dependent suppression of the electrogenic nociceptor program that was not matched by the mechanogated one at the gene level (E1 genes individually significant; no M1 gene significant), while the ECM-Hippo stiffness program was transcriptionally inert within a bounded null (minimum detectable effect 0.18 log2CPM). The full-module interaction initially suggestive of selective E1 suppression (P = 0.0017) did not survive correction for detection-floor asymmetry between modules (detected-gene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the findings direct future mechanotransduction research in PHN toward non-neuronal compartments and spatially resolved designs rather than neuronal bulk transcriptomes.</w:t>
      </w:r>
    </w:p>
    <w:p>
      <w:r>
        <w:rPr>
          <w:rFonts w:ascii="Times New Roman" w:hAnsi="Times New Roman"/>
          <w:b/>
          <w:i w:val="0"/>
          <w:sz w:val="25"/>
        </w:rPr>
        <w:t>Data availability</w:t>
      </w:r>
    </w:p>
    <w:p>
      <w:r>
        <w:rPr>
          <w:rFonts w:ascii="Times New Roman" w:hAnsi="Times New Roman"/>
          <w:sz w:val="24"/>
        </w:rPr>
        <w:t>GSE342782 (processed RSEM counts and series metadata): https://ftp.ncbi.nlm.nih.gov/geo/series/GSE342nnn/GSE342782/</w:t>
      </w:r>
    </w:p>
    <w:p>
      <w:r>
        <w:rPr>
          <w:rFonts w:ascii="Times New Roman" w:hAnsi="Times New Roman"/>
          <w:sz w:val="24"/>
        </w:rPr>
        <w:t>Reproducibility package (analysis scripts, frozen panel `mtp-frozen-2026-10-19`, result JSON/CSV with SHA-256 MANIFEST, all figures): https://github.com/yyx-4113/mechano-phn-gse342782-reanalysis (tag v1.1.2).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 [3].</w:t>
      </w:r>
    </w:p>
    <w:p>
      <w:r>
        <w:rPr>
          <w:rFonts w:ascii="Times New Roman" w:hAnsi="Times New Roman"/>
          <w:b/>
          <w:i w:val="0"/>
          <w:sz w:val="25"/>
        </w:rPr>
        <w:t>Consent for publication</w:t>
      </w:r>
    </w:p>
    <w:p>
      <w:r>
        <w:rPr>
          <w:rFonts w:ascii="Times New Roman" w:hAnsi="Times New Roman"/>
          <w:sz w:val="24"/>
        </w:rPr>
        <w:t>Not applicable.</w:t>
      </w:r>
    </w:p>
    <w:p>
      <w:r>
        <w:rPr>
          <w:rFonts w:ascii="Times New Roman" w:hAnsi="Times New Roman"/>
          <w:b/>
          <w:i w:val="0"/>
          <w:sz w:val="25"/>
        </w:rPr>
        <w:t>Author contributions</w:t>
      </w:r>
    </w:p>
    <w:p>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r>
        <w:rPr>
          <w:rFonts w:ascii="Times New Roman" w:hAnsi="Times New Roman"/>
          <w:sz w:val="24"/>
        </w:rPr>
        <w:t>None.</w:t>
      </w:r>
    </w:p>
    <w:p>
      <w:r>
        <w:rPr>
          <w:rFonts w:ascii="Times New Roman" w:hAnsi="Times New Roman"/>
          <w:b/>
          <w:i w:val="0"/>
          <w:sz w:val="25"/>
        </w:rPr>
        <w:t>Declaration of interests</w:t>
      </w:r>
    </w:p>
    <w:p>
      <w:r>
        <w:rPr>
          <w:rFonts w:ascii="Times New Roman" w:hAnsi="Times New Roman"/>
          <w:sz w:val="24"/>
        </w:rPr>
        <w:t>None declared.</w:t>
      </w:r>
    </w:p>
    <w:p>
      <w:r>
        <w:rPr>
          <w:rFonts w:ascii="Times New Roman" w:hAnsi="Times New Roman"/>
          <w:b/>
          <w:i w:val="0"/>
          <w:sz w:val="25"/>
        </w:rPr>
        <w:t>Funding</w:t>
      </w:r>
    </w:p>
    <w:p>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Liu Y, Zhou Y, Ji YH,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[3] Niemeyer CS, Frietze S, Lewis SWR, Artman EC, Coughlan C, Vaseemuddin SI, et al. Circulating exosomes drive persistent neuronal dysfunction in post-herpetic neuralgia patients. Ann Neurol. 2026. doi:10.1002/ana.78352. [Epub ahead of print].</w:t>
      </w:r>
    </w:p>
    <w:p>
      <w:r>
        <w:rPr>
          <w:rFonts w:ascii="Times New Roman" w:hAnsi="Times New Roman"/>
          <w:b w:val="0"/>
          <w:i w:val="0"/>
          <w:sz w:val="22"/>
        </w:rPr>
        <w:t>[4] Yeon JE, Ryu KH, Cho EA, Ahn JH, Shim JG, Kim J, et al. Efficacy of extracorporeal shockwave therapy for postherpetic neuralgia. Pain Pract. 2025;25(8):e70085. doi:10.1111/papr.70085. PMID: 41091131.</w:t>
      </w:r>
    </w:p>
    <w:p>
      <w:r>
        <w:rPr>
          <w:rFonts w:ascii="Times New Roman" w:hAnsi="Times New Roman"/>
          <w:b w:val="0"/>
          <w:i w:val="0"/>
          <w:sz w:val="22"/>
        </w:rPr>
        <w:t>[5] Raymon HK, Thode S, Zhou J, Friedman GC, Pardinas JR, Barrere C,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CM,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Lee HW, Cho EA, Ahn JH,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Preece D, Gomez-Godinez V, Lu S, et al. Mechanosensor Piezo1 mediates bimodal patterns of intracellular calcium and FAK signaling. EMBO J. 2022;41(17):e111799. doi:10.15252/embj.202211799.</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w:t>
      </w:r>
    </w:p>
    <w:p>
      <w:r>
        <w:rPr>
          <w:rFonts w:ascii="Times New Roman" w:hAnsi="Times New Roman"/>
          <w:b w:val="0"/>
          <w:i w:val="0"/>
          <w:sz w:val="22"/>
        </w:rPr>
        <w:t>[13] Cox JJ, Reimann F, Nicholas AK, Thornton G, Roberts E, Springell K, et al. An SCN9A channelopathy causes congenital inability to experience pain. Nature. 2006;444(7121):894-898. doi:10.1038/nature05413. PMID: 17167479.</w:t>
      </w:r>
    </w:p>
    <w:p>
      <w:r>
        <w:rPr>
          <w:rFonts w:ascii="Times New Roman" w:hAnsi="Times New Roman"/>
          <w:b w:val="0"/>
          <w:i w:val="0"/>
          <w:sz w:val="22"/>
        </w:rPr>
        <w:t>[14] Woo SH, Ranade S, Weyer AD, Dubin AE, Baba Y, Qiu Z, et al. Piezo2 is required for Merkel cell mechanotransduction. Nature. 2014;509(7502):622-626. doi:10.1038/nature13251. PMID: 24717433.</w:t>
      </w:r>
    </w:p>
    <w:p>
      <w:r>
        <w:rPr>
          <w:rFonts w:ascii="Times New Roman" w:hAnsi="Times New Roman"/>
          <w:b w:val="0"/>
          <w:i w:val="0"/>
          <w:sz w:val="22"/>
        </w:rPr>
        <w:t>[15] Murthy SE, Loud MC, Daou I, Marshall KL, Schoborg RV, Sprunger NK,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w:t>
      </w:r>
    </w:p>
    <w:p>
      <w:r>
        <w:rPr>
          <w:rFonts w:ascii="Times New Roman" w:hAnsi="Times New Roman"/>
          <w:b w:val="0"/>
          <w:i w:val="0"/>
          <w:sz w:val="22"/>
        </w:rPr>
        <w:t>[17] Benjamini Y, Hochberg Y. Controlling the false discovery rate: a practical and powerful approach to multiple testing. J R Stat Soc B. 1995;57(1):289-300.</w:t>
      </w:r>
    </w:p>
    <w:p>
      <w:r>
        <w:rPr>
          <w:rFonts w:ascii="Times New Roman" w:hAnsi="Times New Roman"/>
          <w:b w:val="0"/>
          <w:i w:val="0"/>
          <w:sz w:val="22"/>
        </w:rPr>
        <w:t>[18] Sánchez-Carranza O, Chakrabarti S, Kühnemund J, Schwaller F, Bégay V, García-Contreras JA, et al. Piezo2 voltage-block regulates mechanical pain sensitivity. Brain. 2024;147(8):2849-2863. doi:10.1093/brain/awae130. PMID: 38629258.</w:t>
      </w:r>
    </w:p>
    <w:p>
      <w:r>
        <w:rPr>
          <w:rFonts w:ascii="Times New Roman" w:hAnsi="Times New Roman"/>
          <w:b w:val="0"/>
          <w:i w:val="0"/>
          <w:sz w:val="22"/>
        </w:rPr>
        <w:t>[19] Chesler AT, Szczot M, Bharucha-Goebel D, Ceko M, Donkervoort S, Laubacher C, et al. The role of PIEZO2 in human mechanosensation. N Engl J Med. 2016;375(14):1355-1364. doi:10.1056/NEJMoa1602812. PMID: 27726347.</w:t>
      </w:r>
    </w:p>
    <w:p>
      <w:r>
        <w:rPr>
          <w:rFonts w:ascii="Times New Roman" w:hAnsi="Times New Roman"/>
          <w:b w:val="0"/>
          <w:i w:val="0"/>
          <w:sz w:val="22"/>
        </w:rPr>
        <w:t>[20] Dworkin RH, O'Connor AB, Backonja M, Farrar JT, Finnerup NB, Jensen TS, et al. Pharmacologic management of neuropathic pain: evidence-based recommendations. Pain. 2007;132(3):237-251. doi:10.1016/j.pain.2007.08.033. PMID: 17920770.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