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human sensory neurons: a prospectively specified reanalysis of GSE342782</w:t>
      </w:r>
    </w:p>
    <w:p>
      <w:r>
        <w:rPr>
          <w:rFonts w:ascii="Times New Roman" w:hAnsi="Times New Roman"/>
          <w:b/>
          <w:i w:val="0"/>
          <w:sz w:val="24"/>
        </w:rPr>
        <w:t>Yongxin Yang, B.M.</w:t>
      </w:r>
    </w:p>
    <w:p>
      <w:pPr>
        <w:spacing w:line="480" w:lineRule="auto"/>
      </w:pPr>
      <w:r>
        <w:rPr>
          <w:rFonts w:ascii="Times New Roman" w:hAnsi="Times New Roman"/>
          <w:sz w:val="24"/>
        </w:rPr>
        <w:t>Department of Anesthesiology, The Second Affiliated Hospital of Fujian University of Traditional Chinese Medicine, No. 282 Wusi Road, Fuzhou, Fujian 350003, China</w:t>
      </w:r>
    </w:p>
    <w:p>
      <w:pPr>
        <w:spacing w:line="480" w:lineRule="auto"/>
      </w:pPr>
      <w:r>
        <w:rPr>
          <w:rFonts w:ascii="Times New Roman" w:hAnsi="Times New Roman"/>
          <w:sz w:val="24"/>
        </w:rPr>
        <w:t>Correspondence: Yongxin Yang — 960856791@qq.com | ORCID: 0009-0004-9698-6552</w:t>
      </w:r>
    </w:p>
    <w:p>
      <w:pPr>
        <w:spacing w:line="480" w:lineRule="auto"/>
      </w:pPr>
      <w:r>
        <w:rPr>
          <w:rFonts w:ascii="Times New Roman" w:hAnsi="Times New Roman"/>
          <w:sz w:val="24"/>
        </w:rPr>
        <w:t>Telephone: +86-591-8787-8130 (institutional switchboard) | Fax: not available (institution publishes no fax line)</w:t>
      </w:r>
    </w:p>
    <w:p>
      <w:pPr>
        <w:spacing w:line="480" w:lineRule="auto"/>
      </w:pPr>
      <w:r>
        <w:rPr>
          <w:rFonts w:ascii="Times New Roman" w:hAnsi="Times New Roman"/>
          <w:sz w:val="24"/>
        </w:rPr>
        <w:t>Running title: Route-dependent channel programs in VZV-exposed sensory neurons</w:t>
      </w:r>
    </w:p>
    <w:p>
      <w:r>
        <w:rPr>
          <w:rFonts w:ascii="Times New Roman" w:hAnsi="Times New Roman"/>
          <w:b/>
          <w:i w:val="0"/>
          <w:sz w:val="25"/>
        </w:rPr>
        <w:t>Abstract</w:t>
      </w:r>
    </w:p>
    <w:p>
      <w:pPr>
        <w:spacing w:line="480" w:lineRule="auto"/>
      </w:pPr>
      <w:r>
        <w:rPr>
          <w:rFonts w:ascii="Times New Roman" w:hAnsi="Times New Roman"/>
          <w:b/>
          <w:sz w:val="24"/>
        </w:rPr>
        <w:t>Background.</w:t>
      </w:r>
      <w:r>
        <w:rPr>
          <w:rFonts w:ascii="Times New Roman" w:hAnsi="Times New Roman"/>
          <w:sz w:val="24"/>
        </w:rPr>
        <w:t xml:space="preserve"> Mechanical allodynia is a cardinal symptom of postherpetic neuralgia (PHN), yet mechanotransduction is rarely examined in PHN transcriptomics. GSE342782 — RNA-sequencing of human sensory neurons exposed to varicella-zoster virus (VZV) or to serum exosomes from controls, acute herpes zoster (HZ) and PHN patients — permits a test.</w:t>
      </w:r>
    </w:p>
    <w:p>
      <w:pPr>
        <w:spacing w:line="480" w:lineRule="auto"/>
      </w:pPr>
      <w:r>
        <w:rPr>
          <w:rFonts w:ascii="Times New Roman" w:hAnsi="Times New Roman"/>
          <w:b/>
          <w:sz w:val="24"/>
        </w:rPr>
        <w:t>Methods.</w:t>
      </w:r>
      <w:r>
        <w:rPr>
          <w:rFonts w:ascii="Times New Roman" w:hAnsi="Times New Roman"/>
          <w:sz w:val="24"/>
        </w:rPr>
        <w:t xml:space="preserve"> Before analysis we froze a four-module mechanotransduction panel (M1 mechanogated; M2 membrane-cytoskeleton; M3 ECM-integrin-Hippo; M4 mechano-effectors) plus an electrochemical nociceptor module (E1) and three neutral controls. The single primary endpoint was the M3 module-score difference between HZ-serum and control exosomes. Inference used Welch t, Mann-Whitney U and exact label-permutation nulls with Benjamini-Hochberg correction across eight modules.</w:t>
      </w:r>
    </w:p>
    <w:p>
      <w:pPr>
        <w:spacing w:line="480" w:lineRule="auto"/>
      </w:pPr>
      <w:r>
        <w:rPr>
          <w:rFonts w:ascii="Times New Roman" w:hAnsi="Times New Roman"/>
          <w:b/>
          <w:sz w:val="24"/>
        </w:rPr>
        <w:t>Results.</w:t>
      </w:r>
      <w:r>
        <w:rPr>
          <w:rFonts w:ascii="Times New Roman" w:hAnsi="Times New Roman"/>
          <w:sz w:val="24"/>
        </w:rPr>
        <w:t xml:space="preserve"> M3 did not shift under HZ-serum exosomes (difference -0.049 log2CPM; permutation P = 0.42; 95% CI -0.18 to +0.08; minimum detectable effect 0.18 log2CPM) — a bounded null. HZ-serum exosomes suppressed the nociceptor module (E1, -0.220 log2CPM; P = 0.013; q = 0.034), led by TRPV1, the only gene surviving Benjamini-Hochberg correction within E1 (q = 0.017); KCNS1, SCN9A, ASIC1 and ASIC2 were only nominally down (within-E1 q 0.07-0.13). M1 was at most marginally shifted (P = 0.11; PIEZO2 P = 0.18), and E1 was not separable from its neutral control (E1 - N1 = -0.064, P = 0.18). A post hoc interaction (P = 0.0017) was non-significant among detected genes (P = 0.16). The exploratory PHN-exosome contrast was non-specific and donor-confounded.</w:t>
      </w:r>
    </w:p>
    <w:p>
      <w:pPr>
        <w:spacing w:line="480" w:lineRule="auto"/>
      </w:pPr>
      <w:r>
        <w:rPr>
          <w:rFonts w:ascii="Times New Roman" w:hAnsi="Times New Roman"/>
          <w:b/>
          <w:sz w:val="24"/>
        </w:rPr>
        <w:t>Conclusions.</w:t>
      </w:r>
      <w:r>
        <w:rPr>
          <w:rFonts w:ascii="Times New Roman" w:hAnsi="Times New Roman"/>
          <w:sz w:val="24"/>
        </w:rPr>
        <w:t xml:space="preserve"> In this 36-h exposure of an immortalized embryonic dorsal-root-ganglion line, HZ-serum exosomes — but not direct VZV infection — down-regulated the electrogenic nociceptor program, with only TRPV1 surviving within-module correction, while the ECM-Hippo stiffness program was inert within a bounded null. Relevance to PHN allodynia is hypothesis-generating, not evidence of mechanism in patients.</w:t>
      </w:r>
    </w:p>
    <w:p>
      <w:pPr>
        <w:spacing w:line="480" w:lineRule="auto"/>
      </w:pPr>
      <w:r>
        <w:rPr>
          <w:rFonts w:ascii="Times New Roman" w:hAnsi="Times New Roman"/>
          <w:b/>
          <w:sz w:val="24"/>
        </w:rPr>
        <w:t>Registration.</w:t>
      </w:r>
      <w:r>
        <w:rPr>
          <w:rFonts w:ascii="Times New Roman" w:hAnsi="Times New Roman"/>
          <w:sz w:val="24"/>
        </w:rPr>
        <w:t xml:space="preserve"> Protocol v0.4 and frozen panel `mtp-frozen-2026-10-19` were deposited before data examination; no external registry entry.</w:t>
      </w:r>
    </w:p>
    <w:p>
      <w:pPr>
        <w:spacing w:line="480" w:lineRule="auto"/>
      </w:pPr>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pPr>
        <w:spacing w:line="480" w:lineRule="auto"/>
      </w:pPr>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w:t>
      </w:r>
      <w:r>
        <w:rPr>
          <w:rFonts w:ascii="Times New Roman" w:hAnsi="Times New Roman"/>
          <w:sz w:val="24"/>
          <w:vertAlign w:val="superscript"/>
        </w:rPr>
        <w:t>1,20</w:t>
      </w:r>
      <w:r>
        <w:rPr>
          <w:rFonts w:ascii="Times New Roman" w:hAnsi="Times New Roman"/>
          <w:sz w:val="24"/>
        </w:rPr>
        <w:t xml:space="preserve"> Mendelian-randomization analyses have begun to map the causal determinants of PHN risk.</w:t>
      </w:r>
      <w:r>
        <w:rPr>
          <w:rFonts w:ascii="Times New Roman" w:hAnsi="Times New Roman"/>
          <w:sz w:val="24"/>
          <w:vertAlign w:val="superscript"/>
        </w:rPr>
        <w:t>2</w:t>
      </w:r>
      <w:r>
        <w:rPr>
          <w:rFonts w:ascii="Times New Roman" w:hAnsi="Times New Roman"/>
          <w:sz w:val="24"/>
        </w:rPr>
        <w:t xml:space="preserve"> The symptom is, at its core, a disturbance of mechanotransduction, yet the genomic literature of PHN has seldom examined it through that lens. Published bioinformatic reanalyses of PHN cohorts have concentrated on interferon, immune, and inflammatory programs;</w:t>
      </w:r>
      <w:r>
        <w:rPr>
          <w:rFonts w:ascii="Times New Roman" w:hAnsi="Times New Roman"/>
          <w:sz w:val="24"/>
          <w:vertAlign w:val="superscript"/>
        </w:rPr>
        <w:t>1</w:t>
      </w:r>
      <w:r>
        <w:rPr>
          <w:rFonts w:ascii="Times New Roman" w:hAnsi="Times New Roman"/>
          <w:sz w:val="24"/>
        </w:rPr>
        <w:t xml:space="preserve"> none has systematically interrogated the mechanotransduction machinery — mechanogated ion channels, the membrane-cytoskeleton interface, or the extracellular-matrix (ECM)-integrin-Hippo axis.</w:t>
      </w:r>
    </w:p>
    <w:p>
      <w:pPr>
        <w:spacing w:line="480" w:lineRule="auto"/>
      </w:pPr>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w:t>
      </w:r>
      <w:r>
        <w:rPr>
          <w:rFonts w:ascii="Times New Roman" w:hAnsi="Times New Roman"/>
          <w:sz w:val="24"/>
          <w:vertAlign w:val="superscript"/>
        </w:rPr>
        <w:t>3</w:t>
      </w:r>
      <w:r>
        <w:rPr>
          <w:rFonts w:ascii="Times New Roman" w:hAnsi="Times New Roman"/>
          <w:sz w:val="24"/>
        </w:rPr>
        <w:t xml:space="preserve"> The original study reported down-regulation of canonical nociceptive ion channels, induction of substance-P-related neuropeptides, and ECM-remodeling signals, but did not examine these findings through a mechanotransduction lens. Second, extracorporeal shockwave therapy (ESWT) — the deliberate application of controlled mechanical stress — has shown benefit in small herpetic-neuralgia trials</w:t>
      </w:r>
      <w:r>
        <w:rPr>
          <w:rFonts w:ascii="Times New Roman" w:hAnsi="Times New Roman"/>
          <w:sz w:val="24"/>
          <w:vertAlign w:val="superscript"/>
        </w:rPr>
        <w:t>4,7–9</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7</w:t>
      </w:r>
      <w:r>
        <w:rPr>
          <w:rFonts w:ascii="Times New Roman" w:hAnsi="Times New Roman"/>
          <w:sz w:val="24"/>
        </w:rPr>
        <w:t>, and its proposed mechanisms involve integrin-FAK-p38MAPK and Piezo/TRP signaling in non-neuronal model systems;</w:t>
      </w:r>
      <w:r>
        <w:rPr>
          <w:rFonts w:ascii="Times New Roman" w:hAnsi="Times New Roman"/>
          <w:sz w:val="24"/>
          <w:vertAlign w:val="superscript"/>
        </w:rPr>
        <w:t>10,11</w:t>
      </w:r>
      <w:r>
        <w:rPr>
          <w:rFonts w:ascii="Times New Roman" w:hAnsi="Times New Roman"/>
          <w:sz w:val="24"/>
        </w:rPr>
        <w:t xml:space="preserve">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pPr>
        <w:spacing w:line="480" w:lineRule="auto"/>
      </w:pPr>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 the hypothesized core of the mechanical axis —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pPr>
        <w:spacing w:line="480" w:lineRule="auto"/>
      </w:pPr>
      <w:r>
        <w:rPr>
          <w:rFonts w:ascii="Times New Roman" w:hAnsi="Times New Roman"/>
          <w:sz w:val="24"/>
        </w:rPr>
        <w:t>GSE342782 (GEO accession GSE342782; BioProject PRJNA1508885) comprises two experiments in differentiated HD10.6 human sensory neurons.</w:t>
      </w:r>
      <w:r>
        <w:rPr>
          <w:rFonts w:ascii="Times New Roman" w:hAnsi="Times New Roman"/>
          <w:sz w:val="24"/>
          <w:vertAlign w:val="superscript"/>
        </w:rPr>
        <w:t>3</w:t>
      </w:r>
      <w:r>
        <w:rPr>
          <w:rFonts w:ascii="Times New Roman" w:hAnsi="Times New Roman"/>
          <w:sz w:val="24"/>
        </w:rPr>
        <w:t xml:space="preserve">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pPr>
        <w:spacing w:line="480" w:lineRule="auto"/>
      </w:pPr>
      <w:r>
        <w:rPr>
          <w:rFonts w:ascii="Times New Roman" w:hAnsi="Times New Roman"/>
          <w:sz w:val="24"/>
        </w:rPr>
        <w:t>Before any expression data were examined, the following were fixed in writing and deposited in a versioned public protocol (protocol v0.4; panel tag `mtp-frozen-2026-10-19`):</w:t>
      </w:r>
    </w:p>
    <w:p>
      <w:pPr>
        <w:spacing w:line="480" w:lineRule="auto"/>
      </w:pPr>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pPr>
        <w:spacing w:line="480" w:lineRule="auto"/>
      </w:pPr>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pPr>
        <w:spacing w:line="480" w:lineRule="auto"/>
      </w:pPr>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w:t>
      </w:r>
      <w:r>
        <w:rPr>
          <w:rFonts w:ascii="Times New Roman" w:hAnsi="Times New Roman"/>
          <w:sz w:val="24"/>
          <w:vertAlign w:val="superscript"/>
        </w:rPr>
        <w:t>3</w:t>
      </w:r>
      <w:r>
        <w:rPr>
          <w:rFonts w:ascii="Times New Roman" w:hAnsi="Times New Roman"/>
          <w:sz w:val="24"/>
        </w:rPr>
        <w:t xml:space="preserve"> the PHN contrast was pre-designated exploratory and the HZ-versus-control contrast was designated the primary comparison.</w:t>
      </w:r>
    </w:p>
    <w:p>
      <w:r>
        <w:rPr>
          <w:rFonts w:ascii="Times New Roman" w:hAnsi="Times New Roman"/>
          <w:b/>
          <w:i w:val="0"/>
          <w:sz w:val="24"/>
        </w:rPr>
        <w:t>2.3 Preprocessing and module scoring</w:t>
      </w:r>
    </w:p>
    <w:p>
      <w:pPr>
        <w:spacing w:line="480" w:lineRule="auto"/>
      </w:pPr>
      <w:r>
        <w:rPr>
          <w:rFonts w:ascii="Times New Roman" w:hAnsi="Times New Roman"/>
          <w:sz w:val="24"/>
        </w:rPr>
        <w:t>Counts were converted to counts-per-million (CPM) and module scores computed as the mean log2(1 + CPM) across panel genes present in the matrix. Detection was defined as CPM &gt; 1. Throughout this paper the shorthand "log2CPM" denotes log2(1 + CPM); the unit offset avoids undefined values for zero-count genes and is applied identically to every gene and sample. Because the exosome response included a ribosomal-component shift (138 RPL/RPS genes rose from 3.23% to 4.22% of the library), which could in principle dilute non-ribosomal transcripts artefactually, the primary contrast was repeated under a DESeq2-style median-of-ratios normalization at matched scale: every headline conclusion was unchanged (E1 -0.194, permutation P = 0.015; M3 -0.024, P = 0.64; E1 - M1 interaction P = 0.0017), so the E1 suppression is not a normalization artefact (`layer1_norm_robustness.json`).</w:t>
      </w:r>
    </w:p>
    <w:p>
      <w:r>
        <w:rPr>
          <w:rFonts w:ascii="Times New Roman" w:hAnsi="Times New Roman"/>
          <w:b/>
          <w:i w:val="0"/>
          <w:sz w:val="24"/>
        </w:rPr>
        <w:t>2.4 Statistical testing</w:t>
      </w:r>
    </w:p>
    <w:p>
      <w:pPr>
        <w:spacing w:line="480" w:lineRule="auto"/>
      </w:pPr>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w:t>
      </w:r>
    </w:p>
    <w:p>
      <w:r>
        <w:rPr>
          <w:rFonts w:ascii="Times New Roman" w:hAnsi="Times New Roman"/>
          <w:b/>
          <w:i w:val="0"/>
          <w:sz w:val="24"/>
        </w:rPr>
        <w:t>2.5 Reproducibility</w:t>
      </w:r>
    </w:p>
    <w:p>
      <w:pPr>
        <w:spacing w:line="480" w:lineRule="auto"/>
      </w:pPr>
      <w:r>
        <w:rPr>
          <w:rFonts w:ascii="Times New Roman" w:hAnsi="Times New Roman"/>
          <w:sz w:val="24"/>
        </w:rPr>
        <w:t>All analyses were executed in Python 3.14.5 (NumPy 2.5.1, pandas 3.0.5, SciPy 1.18.0, Matplotlib 3.11.1). Every result file carries a SHA-256 manifest linking it to the exact input files and the frozen panel. All numerical values quoted in this manuscript are traceable to the reproducibility package — the module- and contrast-level results in `layer1_results.json` and the gene-level results in `layer1_gene_level.csv` (which now includes a within-module Benjamini–Hochberg q), both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pPr>
        <w:spacing w:line="480" w:lineRule="auto"/>
      </w:pPr>
      <w:r>
        <w:rPr>
          <w:rFonts w:ascii="Times New Roman" w:hAnsi="Times New Roman"/>
          <w:sz w:val="24"/>
        </w:rPr>
        <w:t>The prospectively specified data-examination gate established the expression baseline of the model (Table 1); the design and analysis pipeline are summarized in Figure 1. The HD10.6 line — a tetracycline-regulatable v-myc immortalized embryonic dorsal root ganglion clonal line, not an iPSC-derived model</w:t>
      </w:r>
      <w:r>
        <w:rPr>
          <w:rFonts w:ascii="Times New Roman" w:hAnsi="Times New Roman"/>
          <w:sz w:val="24"/>
          <w:vertAlign w:val="superscript"/>
        </w:rPr>
        <w:t>5,6</w:t>
      </w:r>
      <w:r>
        <w:rPr>
          <w:rFonts w:ascii="Times New Roman" w:hAnsi="Times New Roman"/>
          <w:sz w:val="24"/>
        </w:rPr>
        <w:t xml:space="preserve"> — expressed PIEZO2 at high levels (mean CPM 245.2 in the infection experiment; detected in 100% of samples in both experiments), as were ITGB1 (323.6 CPM) and the electrochemical nociceptor channels SCN9A (mean log2CPM 8.31 across all 12 samples; 8.39 in mock samples only) and TRPV1 (6.94 across all 12 samples; 7.02 in mock samples only).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pPr>
        <w:spacing w:line="480" w:lineRule="auto"/>
      </w:pPr>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pPr>
        <w:spacing w:line="480" w:lineRule="auto"/>
      </w:pPr>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(these are uncorrected nominal P values across 56 genes, shown only to illustrate directional incoherence) — indicating genuine null aggregation rather than cancellation of a coherent shift. We emphasize that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ig2c_E1_genes.png"/>
                    <pic:cNvPicPr/>
                  </pic:nvPicPr>
                  <pic:blipFill>
                    <a:blip r:embed="rId11"/>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 Only TRPV1 survives Benjamini-Hochberg correction within the module (q = 0.017).</w:t>
      </w:r>
    </w:p>
    <w:p>
      <w:pPr>
        <w:spacing w:line="480" w:lineRule="auto"/>
      </w:pPr>
      <w:r>
        <w:rPr>
          <w:rFonts w:ascii="Times New Roman" w:hAnsi="Times New Roman"/>
          <w:sz w:val="24"/>
        </w:rPr>
        <w:t xml:space="preserve">Under the same primary contrast, the pre-specified secondary module E1 (electrochemical nociceptor channels) was significantly suppressed (-0.220 log2CPM; exact permutation P = 0.013; Welch P = 0.011; BH q = 0.034; 95% CI -0.38 to -0.06; Figure 2a),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Figure 2c);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second-strongest in E1) is reported as a floor-limited descriptive value, not a confirmed signal. PIEZO2 — the dominant mechanogated channel of this model —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 Critically, E1 must also be judged against its own neutral control: the per-sample (E1 - N1) difference shifted by only -0.064 log2CPM under HZ exosomes (exact permutation P = 0.178; Welch P = 0.187), i.e. E1 is not separable from N1 at the module level. The channel-class imbalance therefore survives as a gene-level, family-corrected signal led by TRPV1, not as a demonstrated module-level selectivity over control channels.</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2456367"/>
            <wp:docPr id="4" name="Picture 4"/>
            <wp:cNvGraphicFramePr>
              <a:graphicFrameLocks noChangeAspect="1"/>
            </wp:cNvGraphicFramePr>
            <a:graphic>
              <a:graphicData uri="http://schemas.openxmlformats.org/drawingml/2006/picture">
                <pic:pic>
                  <pic:nvPicPr>
                    <pic:cNvPr id="0" name="fig2d_dissociation.png"/>
                    <pic:cNvPicPr/>
                  </pic:nvPicPr>
                  <pic:blipFill>
                    <a:blip r:embed="rId12"/>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pPr>
        <w:spacing w:line="480" w:lineRule="auto"/>
      </w:pPr>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(Figure 2d); for the direct-infection contrast, (M1 difference - E1 difference) = -0.051 with exact permutation P = 0.19, so the reciprocal "M1-selective" pattern is not supported at the interaction level.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 TRPV1 survives within-E1 correction, KCNS1/SCN9A/ASIC1/2 are nominally down, and no M1 gene reaches P &lt; 0.05 (PIEZO2 P = 0.18) —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 The route dependence is one of magnitude rather than direction: TRPV1 mRNA also fell under direct VZV infection (-0.149 log2CPM, Welch P = 0.008, within-E1 q = 0.144), roughly a quarter of the HZ-exosome effect (-0.567); PIEZO2 likewise fell modestly under direct infection (-0.144, P = 0.021).</w:t>
      </w:r>
    </w:p>
    <w:p>
      <w:r>
        <w:rPr>
          <w:rFonts w:ascii="Times New Roman" w:hAnsi="Times New Roman"/>
          <w:b/>
          <w:i w:val="0"/>
          <w:sz w:val="24"/>
        </w:rPr>
        <w:t>3.5 Exploratory PHN-exosome contrast: non-specific and confounded</w:t>
      </w:r>
    </w:p>
    <w:p>
      <w:pPr>
        <w:spacing w:line="480" w:lineRule="auto"/>
      </w:pPr>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w:t>
      </w:r>
      <w:r>
        <w:rPr>
          <w:rFonts w:ascii="Times New Roman" w:hAnsi="Times New Roman"/>
          <w:sz w:val="24"/>
          <w:vertAlign w:val="superscript"/>
        </w:rPr>
        <w:t>3</w:t>
      </w:r>
      <w:r>
        <w:rPr>
          <w:rFonts w:ascii="Times New Roman" w:hAnsi="Times New Roman"/>
          <w:sz w:val="24"/>
        </w:rPr>
        <w:t xml:space="preserve"> we report this contrast as non-specific and confounded, and it plays no confirmatory role in our conclusions.</w:t>
      </w:r>
    </w:p>
    <w:p>
      <w:pPr>
        <w:spacing w:line="480" w:lineRule="auto"/>
      </w:pPr>
      <w:r>
        <w:rPr>
          <w:rFonts w:ascii="Times New Roman" w:hAnsi="Times New Roman"/>
          <w:sz w:val="24"/>
        </w:rPr>
        <w:t>Donor-level age and sex are not present in the deposited GEO metadata for these samples (which report only cell line and treatment), so the confounding cannot be quantified from public data; it is documented in the original publication</w:t>
      </w:r>
      <w:r>
        <w:rPr>
          <w:rFonts w:ascii="Times New Roman" w:hAnsi="Times New Roman"/>
          <w:sz w:val="24"/>
          <w:vertAlign w:val="superscript"/>
        </w:rPr>
        <w:t>3</w:t>
      </w:r>
      <w:r>
        <w:rPr>
          <w:rFonts w:ascii="Times New Roman" w:hAnsi="Times New Roman"/>
          <w:sz w:val="24"/>
        </w:rPr>
        <w:t xml:space="preserve"> and is the reason this contrast is treated as exploratory rather than confirmatory. Gene-level P values within this contrast are reported without any claim of family-wise control, and no clinical inference about PHN as a disease of patients is drawn from it.</w:t>
      </w:r>
    </w:p>
    <w:p>
      <w:r>
        <w:rPr>
          <w:rFonts w:ascii="Times New Roman" w:hAnsi="Times New Roman"/>
          <w:b/>
          <w:i w:val="0"/>
          <w:sz w:val="24"/>
        </w:rPr>
        <w:t>3.6 Neutral controls, calibration, and reporting discipline</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2b_cci.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spacing w:line="480" w:lineRule="auto"/>
      </w:pPr>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 response to exosome exposure, not as a neutral baseline. Third, N1 overlaps E1 by two genes (KCNQ2, KCNQ3) that move with E1 under PHN exosomes; the N1 "control" signal under PHN therefore shares machinery with the E1 signal and is disclosed as such. Because these two genes belong to both modules, their within-module q values are family-specific and are reported separately rather than as a single number: under the primary contrast, KCNQ3 has q = 0.366 within E1 and q = 0.500 within N1, and KCNQ2 has q = 0.497 within E1 and q = 0.564 within N1; neither is significant in either family. Global-shift diagnostics confirmed no genome-wide drift confounded the module scores: per-sample mean log2CPM values were near-identical across all 19 exosome samples (range 1.55 to 1.61). The CCI did not differ between groups under any contrast (all permutation P &gt;= 0.82; Figure 2b),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4"/>
        </w:rPr>
        <w:t>3.7 Neuronal integrity: the E1 shift is not attributable to overt injury</w:t>
      </w:r>
    </w:p>
    <w:p>
      <w:pPr>
        <w:spacing w:line="480" w:lineRule="auto"/>
      </w:pPr>
      <w:r>
        <w:rPr>
          <w:rFonts w:ascii="Times New Roman" w:hAnsi="Times New Roman"/>
          <w:sz w:val="24"/>
        </w:rPr>
        <w:t>To distinguish a specific channel effect from a non-specific neuronal reaction or cytotoxicity, we examined the injury marker ATF3 and a pan-neuronal panel (post hoc). ATF3 was unchanged under HZ exosomes (+0.0002 log2CPM, P = 0.998), so the E1 suppression cannot be attributed to overt neuronal injury or cell loss. However, several pan-neuronal markers moved modestly in the same direction (NEFH -0.221, P = 0.006; TUBB3 -0.183, P = 0.012; NTRK1 -0.202, P = 0.031; PRPH -0.128, P = 0.048; NEFL -0.111, P = 0.053), so a mild, non-specific neuronal response accompanying the exosome exposure cannot be excluded; no marker survived Benjamini-Hochberg correction across the ten-gene panel. This pattern bounds the interpretation in both directions: it argues against cytotoxicity as the explanation for the E1 shift, while cautioning that the shift is not demonstrably channel-specific at the level of the whole transcriptome.</w:t>
      </w:r>
    </w:p>
    <w:p>
      <w:r>
        <w:rPr>
          <w:rFonts w:ascii="Times New Roman" w:hAnsi="Times New Roman"/>
          <w:b/>
          <w:i w:val="0"/>
          <w:sz w:val="25"/>
        </w:rPr>
        <w:t>4. Discussion</w:t>
      </w:r>
    </w:p>
    <w:p>
      <w:r>
        <w:rPr>
          <w:rFonts w:ascii="Times New Roman" w:hAnsi="Times New Roman"/>
          <w:b/>
          <w:i w:val="0"/>
          <w:sz w:val="24"/>
        </w:rPr>
        <w:t>4.1 A route-dependent, gene-level channel signal — hypothesis-generating, not a proven allodynia substrate</w:t>
      </w:r>
    </w:p>
    <w:p>
      <w:pPr>
        <w:spacing w:line="480" w:lineRule="auto"/>
      </w:pPr>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is inert within a bounded null. The full-module interaction that initially suggested selective E1 suppression (P = 0.0017) did not survive a detected-gene subset analysis (P = 0.16), so we do not present it as a confirmed dissociation. We deliberately do not present this as a transcriptomic "substrate for mechanical allodynia." The established mechanotransduction literature points the opposite way: allodynia is predominantly a gain of mechanosensory function — Piezo2 is a mechanotransduction channel</w:t>
      </w:r>
      <w:r>
        <w:rPr>
          <w:rFonts w:ascii="Times New Roman" w:hAnsi="Times New Roman"/>
          <w:sz w:val="24"/>
          <w:vertAlign w:val="superscript"/>
        </w:rPr>
        <w:t>14</w:t>
      </w:r>
      <w:r>
        <w:rPr>
          <w:rFonts w:ascii="Times New Roman" w:hAnsi="Times New Roman"/>
          <w:sz w:val="24"/>
        </w:rPr>
        <w:t xml:space="preserve"> whose gain-of-function sensitizes nociceptors and increases mechanical pain sensitivity;</w:t>
      </w:r>
      <w:r>
        <w:rPr>
          <w:rFonts w:ascii="Times New Roman" w:hAnsi="Times New Roman"/>
          <w:sz w:val="24"/>
          <w:vertAlign w:val="superscript"/>
        </w:rPr>
        <w:t>18</w:t>
      </w:r>
      <w:r>
        <w:rPr>
          <w:rFonts w:ascii="Times New Roman" w:hAnsi="Times New Roman"/>
          <w:sz w:val="24"/>
        </w:rPr>
        <w:t xml:space="preserve"> indeed, that same work implies allodynia requires intact Piezo2 function. Because we invoke mRNA-function decoupling to reconcile the E1 direction (below), the same logic must be applied here: PIEZO2 transcript was unchanged, but Piezo2 function is regulated post-translationally, most directly by relief of its voltage-block, which is sufficient to sensitize cutaneous nociceptors and drive ongoing activity without any change in PIEZO2 expression.</w:t>
      </w:r>
      <w:r>
        <w:rPr>
          <w:rFonts w:ascii="Times New Roman" w:hAnsi="Times New Roman"/>
          <w:sz w:val="24"/>
          <w:vertAlign w:val="superscript"/>
        </w:rPr>
        <w:t>18</w:t>
      </w:r>
      <w:r>
        <w:rPr>
          <w:rFonts w:ascii="Times New Roman" w:hAnsi="Times New Roman"/>
          <w:sz w:val="24"/>
        </w:rPr>
        <w:t xml:space="preserve"> Our data therefore exclude transcriptional up-regulation of the mechanogated program in this model; they do not exclude Piezo2-dependent mechanical sensitization, and we do not read the M1 null as refuting a mechanical axis in PHN. Piezo2 is required for mechanical pain in mice</w:t>
      </w:r>
      <w:r>
        <w:rPr>
          <w:rFonts w:ascii="Times New Roman" w:hAnsi="Times New Roman"/>
          <w:sz w:val="24"/>
          <w:vertAlign w:val="superscript"/>
        </w:rPr>
        <w:t>15</w:t>
      </w:r>
      <w:r>
        <w:rPr>
          <w:rFonts w:ascii="Times New Roman" w:hAnsi="Times New Roman"/>
          <w:sz w:val="24"/>
        </w:rPr>
        <w:t xml:space="preserve"> and human loss-of-function causes mechanosensation and tactile-allodynia defects,</w:t>
      </w:r>
      <w:r>
        <w:rPr>
          <w:rFonts w:ascii="Times New Roman" w:hAnsi="Times New Roman"/>
          <w:sz w:val="24"/>
          <w:vertAlign w:val="superscript"/>
        </w:rPr>
        <w:t>19</w:t>
      </w:r>
      <w:r>
        <w:rPr>
          <w:rFonts w:ascii="Times New Roman" w:hAnsi="Times New Roman"/>
          <w:sz w:val="24"/>
        </w:rPr>
        <w:t xml:space="preserve"> and SCN9A loss-of-function causes congenital insensitivity to pain.</w:t>
      </w:r>
      <w:r>
        <w:rPr>
          <w:rFonts w:ascii="Times New Roman" w:hAnsi="Times New Roman"/>
          <w:sz w:val="24"/>
          <w:vertAlign w:val="superscript"/>
        </w:rPr>
        <w:t>13</w:t>
      </w:r>
    </w:p>
    <w:p>
      <w:pPr>
        <w:spacing w:line="480" w:lineRule="auto"/>
      </w:pPr>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compatible with functional hyperexcitability provided that post-translational sensitization outweighs an approximately 1.5-fold reduction in transcript; we cannot test this balance without protein-level or electrophysiological data, and the alternative reading, that the observed down-regulation is genuinely counter-regulatory or homeostatic, remains open. The same decoupling applies to the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if acute-HZ serum exosomes carry a channel-suppressive signature to sensory neurons, then serial measurement of this exosome phenotype in patients from rash onset through 90 days could test whether its presence or persistence predicts progression to PHN — a hypothesis this dataset cannot answer but which frames the next clinical step. (The source study's report of up-regulated substance P is not reproduced here: TAC1 was +0.22 log2CPM, P = 0.38, under HZ exosomes.)</w:t>
      </w:r>
    </w:p>
    <w:p>
      <w:r>
        <w:rPr>
          <w:rFonts w:ascii="Times New Roman" w:hAnsi="Times New Roman"/>
          <w:b/>
          <w:i w:val="0"/>
          <w:sz w:val="24"/>
        </w:rPr>
        <w:t>4.2 Route dependence and its implications</w:t>
      </w:r>
    </w:p>
    <w:p>
      <w:pPr>
        <w:spacing w:line="480" w:lineRule="auto"/>
      </w:pPr>
      <w:r>
        <w:rPr>
          <w:rFonts w:ascii="Times New Roman" w:hAnsi="Times New Roman"/>
          <w:sz w:val="24"/>
        </w:rPr>
        <w:t>The interaction test shows the route of perturbation matters, but asymmetrically: exosomes from acute zoster produce a robust E1 suppression (a gene-level, nominal signal led by TRPV1), whereas direct VZV infection does not produce a statistically supported selective M1 effect.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signaling. We note the E1≫M1 selectivity is not robust to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pPr>
        <w:spacing w:line="480" w:lineRule="auto"/>
      </w:pPr>
      <w:r>
        <w:rPr>
          <w:rFonts w:ascii="Times New Roman" w:hAnsi="Times New Roman"/>
          <w:sz w:val="24"/>
        </w:rPr>
        <w:t>Perhaps the most consequential finding for the mechanotransduction field is what did not move. The ECM-integrin-Hippo program — the transcriptional core of cellular mechanotransduction — showed no detectable transcriptional response under any perturbation route, within a bounded null (MDE 0.18 log2CPM); "no detectable response" is the claim, not "inert by mechanism".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remodeling requires longer time constants. (iii) mRNA may be uncoupled from mechanotransduction, which is largely regulated post-translationally. Radial extracorporeal shockwave therapy (rESWT), which this section invokes only as contextual background, illustrates the compartmental problem at the experimental level: in bone-callus single-cell data, ESWT released extracellular vesicles through an ATP/P2X7R/p38MAPK axis acting on mesenchymal rather than neuronal cells,</w:t>
      </w:r>
      <w:r>
        <w:rPr>
          <w:rFonts w:ascii="Times New Roman" w:hAnsi="Times New Roman"/>
          <w:sz w:val="24"/>
          <w:vertAlign w:val="superscript"/>
        </w:rPr>
        <w:t>12</w:t>
      </w:r>
      <w:r>
        <w:rPr>
          <w:rFonts w:ascii="Times New Roman" w:hAnsi="Times New Roman"/>
          <w:sz w:val="24"/>
        </w:rPr>
        <w:t xml:space="preserve"> and none of those studies tested a YAP/TAZ or neuronal-channel mechanism in PHN. Whichever applies, the practical redirection is the same: the mechanical axis in PHN should be pursued in non-neuronal compartments — DRG satellite glia, skin, and serum — and in spatially resolved tissue data. This reframing is relevant only as context for mechanotherapy: the machinery engaged by ESWT (integrin-FAK-p38MAPK; Piezo/TRP signaling) resides in those non-neuronal compartments,</w:t>
      </w:r>
      <w:r>
        <w:rPr>
          <w:rFonts w:ascii="Times New Roman" w:hAnsi="Times New Roman"/>
          <w:sz w:val="24"/>
          <w:vertAlign w:val="superscript"/>
        </w:rPr>
        <w:t>10,11</w:t>
      </w:r>
      <w:r>
        <w:rPr>
          <w:rFonts w:ascii="Times New Roman" w:hAnsi="Times New Roman"/>
          <w:sz w:val="24"/>
        </w:rPr>
        <w:t xml:space="preserve"> and ESWT has shown benefit in herpetic neuralgia in small trials,</w:t>
      </w:r>
      <w:r>
        <w:rPr>
          <w:rFonts w:ascii="Times New Roman" w:hAnsi="Times New Roman"/>
          <w:sz w:val="24"/>
          <w:vertAlign w:val="superscript"/>
        </w:rPr>
        <w:t>4,7–9</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7</w:t>
      </w:r>
      <w:r>
        <w:rPr>
          <w:rFonts w:ascii="Times New Roman" w:hAnsi="Times New Roman"/>
          <w:sz w:val="24"/>
        </w:rPr>
        <w:t xml:space="preserve">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pPr>
        <w:spacing w:line="480" w:lineRule="auto"/>
      </w:pPr>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 the clinically most relevant contrast — is confounded by age and sex; conclusions about PHN as a disease of patients are out of scope.</w:t>
      </w:r>
    </w:p>
    <w:p>
      <w:pPr>
        <w:spacing w:line="480" w:lineRule="auto"/>
      </w:pPr>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differs from adult DRG: PIEZO2 is in fact widely expressed across adult human DRG neuronal classes, so PIEZO2-high is not itself the deviation, whereas TRPV4/STOML3 absence and single-clone derivation are,</w:t>
      </w:r>
      <w:r>
        <w:rPr>
          <w:rFonts w:ascii="Times New Roman" w:hAnsi="Times New Roman"/>
          <w:sz w:val="24"/>
          <w:vertAlign w:val="superscript"/>
        </w:rPr>
        <w:t>21</w:t>
      </w:r>
      <w:r>
        <w:rPr>
          <w:rFonts w:ascii="Times New Roman" w:hAnsi="Times New Roman"/>
          <w:sz w:val="24"/>
        </w:rPr>
        <w:t xml:space="preserve">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absence of TRPV4 and STOML3 — the most mechanosensitive members of M1 —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 mean CPM 7.23 in DirectInf versus 0.55 in SeraExo, a ~13-fold difference — constraining cross-experiment comparability of the E1 module; PIEZO2 showed a smaller but non-trivial cross-experiment difference (245.2 versus 164.1 CPM, ~1.5-fold), so M1 comparisons across the two experiments are likewise descriptive. (x) The source study's reported up-regulation of substance P was not reproduced here (TAC1 +0.22 log2CPM, P = 0.38, under HZ exosomes); the present data show only the channel-downregulation pattern.</w:t>
      </w:r>
    </w:p>
    <w:p>
      <w:pPr>
        <w:spacing w:line="480" w:lineRule="auto"/>
      </w:pPr>
      <w:r>
        <w:rPr>
          <w:rFonts w:ascii="Times New Roman" w:hAnsi="Times New Roman"/>
          <w:sz w:val="24"/>
        </w:rPr>
        <w:t>Three further constraints follow from the Round-4 internal benchmarks. (xi) The E1 signal is not separable from the neutral N1 control at the module level: N1 itself shifted by -0.156 log2CPM under HZ exosomes (permutation P = 0.151) versus E1 -0.220 (P = 0.013), and their difference gives E1 - N1 = -0.064 (P = 0.178). Any claim of channel-class selectivity is therefore nominal and gene-level, not a demonstrated module-level dissociation. (xii) Substrate stiffness, the primary determinant of cellular mechanotransduction, was neither manipulated nor measured: the neurons were cultured on standard plastic, so the absence of an ECM-Hippo response may reflect an unphysiological mechanical set-point rather than neuronal insensitivity. (xiii) The preparation is neurons alone; satellite glia, immune cells and spinal circuitry — the compartments in which PHN allodynia is generated and maintained — are absent, and the exosome dose was not independently quantified or dose-ranged, so no dose-response inference is possible.</w:t>
      </w:r>
    </w:p>
    <w:p>
      <w:r>
        <w:rPr>
          <w:rFonts w:ascii="Times New Roman" w:hAnsi="Times New Roman"/>
          <w:b/>
          <w:i w:val="0"/>
          <w:sz w:val="25"/>
        </w:rPr>
        <w:t>5. Conclusions</w:t>
      </w:r>
    </w:p>
    <w:p>
      <w:pPr>
        <w:spacing w:line="480" w:lineRule="auto"/>
      </w:pPr>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analyzed, P = 0.046), while the ECM-Hippo stiffness program was transcriptionally inert within a bounded null (minimum detectable effect 0.18 log2CPM) — an important negative result directing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 whether the HZ-exosome channel-suppressive signature predicts progression to PHN.</w:t>
      </w:r>
    </w:p>
    <w:p>
      <w:r>
        <w:rPr>
          <w:rFonts w:ascii="Times New Roman" w:hAnsi="Times New Roman"/>
          <w:b/>
          <w:i w:val="0"/>
          <w:sz w:val="25"/>
        </w:rPr>
        <w:t>Data availability</w:t>
      </w:r>
    </w:p>
    <w:p>
      <w:pPr>
        <w:spacing w:line="480" w:lineRule="auto"/>
      </w:pPr>
      <w:r>
        <w:rPr>
          <w:rFonts w:ascii="Times New Roman" w:hAnsi="Times New Roman"/>
          <w:sz w:val="24"/>
        </w:rPr>
        <w:t>GSE342782 (processed RSEM counts and series metadata): https://ftp.ncbi.nlm.nih.gov/geo/series/GSE342nnn/GSE342782/</w:t>
      </w:r>
    </w:p>
    <w:p>
      <w:pPr>
        <w:spacing w:line="480" w:lineRule="auto"/>
      </w:pPr>
      <w:r>
        <w:rPr>
          <w:rFonts w:ascii="Times New Roman" w:hAnsi="Times New Roman"/>
          <w:sz w:val="24"/>
        </w:rPr>
        <w:t>Reproducibility package (analysis scripts, frozen panel `mtp-frozen-2026-10-19`, result JSON/CSV with SHA-256 MANIFEST, all figures): https://github.com/yyx-4113/mechano-phn-gse342782-reanalysis (tag v1.1.4).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pPr>
        <w:spacing w:line="480" w:lineRule="auto"/>
      </w:pPr>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w:t>
      </w:r>
      <w:r>
        <w:rPr>
          <w:rFonts w:ascii="Times New Roman" w:hAnsi="Times New Roman"/>
          <w:sz w:val="24"/>
          <w:vertAlign w:val="superscript"/>
        </w:rPr>
        <w:t>3</w:t>
      </w:r>
    </w:p>
    <w:p>
      <w:r>
        <w:rPr>
          <w:rFonts w:ascii="Times New Roman" w:hAnsi="Times New Roman"/>
          <w:b/>
          <w:i w:val="0"/>
          <w:sz w:val="25"/>
        </w:rPr>
        <w:t>Consent for publication</w:t>
      </w:r>
    </w:p>
    <w:p>
      <w:pPr>
        <w:spacing w:line="480" w:lineRule="auto"/>
      </w:pPr>
      <w:r>
        <w:rPr>
          <w:rFonts w:ascii="Times New Roman" w:hAnsi="Times New Roman"/>
          <w:sz w:val="24"/>
        </w:rPr>
        <w:t>Not applicable.</w:t>
      </w:r>
    </w:p>
    <w:p>
      <w:r>
        <w:rPr>
          <w:rFonts w:ascii="Times New Roman" w:hAnsi="Times New Roman"/>
          <w:b/>
          <w:i w:val="0"/>
          <w:sz w:val="25"/>
        </w:rPr>
        <w:t>Author contributions</w:t>
      </w:r>
    </w:p>
    <w:p>
      <w:pPr>
        <w:spacing w:line="480" w:lineRule="auto"/>
      </w:pPr>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pPr>
        <w:spacing w:line="480" w:lineRule="auto"/>
      </w:pPr>
      <w:r>
        <w:rPr>
          <w:rFonts w:ascii="Times New Roman" w:hAnsi="Times New Roman"/>
          <w:sz w:val="24"/>
        </w:rPr>
        <w:t>None.</w:t>
      </w:r>
    </w:p>
    <w:p>
      <w:r>
        <w:rPr>
          <w:rFonts w:ascii="Times New Roman" w:hAnsi="Times New Roman"/>
          <w:b/>
          <w:i w:val="0"/>
          <w:sz w:val="25"/>
        </w:rPr>
        <w:t>Declaration of interests</w:t>
      </w:r>
    </w:p>
    <w:p>
      <w:pPr>
        <w:spacing w:line="480" w:lineRule="auto"/>
      </w:pPr>
      <w:r>
        <w:rPr>
          <w:rFonts w:ascii="Times New Roman" w:hAnsi="Times New Roman"/>
          <w:sz w:val="24"/>
        </w:rPr>
        <w:t>None declared.</w:t>
      </w:r>
    </w:p>
    <w:p>
      <w:r>
        <w:rPr>
          <w:rFonts w:ascii="Times New Roman" w:hAnsi="Times New Roman"/>
          <w:b/>
          <w:i w:val="0"/>
          <w:sz w:val="25"/>
        </w:rPr>
        <w:t>Funding</w:t>
      </w:r>
    </w:p>
    <w:p>
      <w:pPr>
        <w:spacing w:line="480" w:lineRule="auto"/>
      </w:pPr>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[3] Niemeyer CS, Frietze S, Lewis SWR, et al. Circulating exosomes drive persistent neuronal dysfunction in post-herpetic neuralgia patients. Ann Neurol. 2026. doi:10.1002/ana.78352. PMID: 42734212.</w:t>
      </w:r>
    </w:p>
    <w:p>
      <w:r>
        <w:rPr>
          <w:rFonts w:ascii="Times New Roman" w:hAnsi="Times New Roman"/>
          <w:b w:val="0"/>
          <w:i w:val="0"/>
          <w:sz w:val="22"/>
        </w:rPr>
        <w:t>[4] Yeon JE, Ryu KH, Cho EA, et al. Efficacy of extracorporeal shockwave therapy for postherpetic neuralgia. Pain Pract. 2025;25(8):e70085. doi:10.1111/papr.70085. PMID: 41091131.</w:t>
      </w:r>
    </w:p>
    <w:p>
      <w:r>
        <w:rPr>
          <w:rFonts w:ascii="Times New Roman" w:hAnsi="Times New Roman"/>
          <w:b w:val="0"/>
          <w:i w:val="0"/>
          <w:sz w:val="22"/>
        </w:rPr>
        <w:t>[5] Raymon HK, Thode S, Zhou J,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et al. Mechanosensor Piezo1 mediates bimodal patterns of intracellular calcium and FAK signaling. EMBO J. 2022;41(17):e111799. doi:10.15252/embj.2022111799. PMID: 35844093.</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 (accessed October 19, 2026).</w:t>
      </w:r>
    </w:p>
    <w:p>
      <w:r>
        <w:rPr>
          <w:rFonts w:ascii="Times New Roman" w:hAnsi="Times New Roman"/>
          <w:b w:val="0"/>
          <w:i w:val="0"/>
          <w:sz w:val="22"/>
        </w:rPr>
        <w:t>[13] Cox JJ, Reimann F, Nicholas AK, et al. An SCN9A channelopathy causes congenital inability to experience pain. Nature. 2006;444(7121):894-898. doi:10.1038/nature05413. PMID: 17167479.</w:t>
      </w:r>
    </w:p>
    <w:p>
      <w:r>
        <w:rPr>
          <w:rFonts w:ascii="Times New Roman" w:hAnsi="Times New Roman"/>
          <w:b w:val="0"/>
          <w:i w:val="0"/>
          <w:sz w:val="22"/>
        </w:rPr>
        <w:t>[14] Woo SH, Ranade S, Weyer AD, et al. Piezo2 is required for Merkel cell mechanotransduction. Nature. 2014;509(7502):622-626. doi:10.1038/nature13251. PMID: 24717433.</w:t>
      </w:r>
    </w:p>
    <w:p>
      <w:r>
        <w:rPr>
          <w:rFonts w:ascii="Times New Roman" w:hAnsi="Times New Roman"/>
          <w:b w:val="0"/>
          <w:i w:val="0"/>
          <w:sz w:val="22"/>
        </w:rPr>
        <w:t>[15] Murthy SE, Loud MC, Daou I,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 PMID: 21816040.</w:t>
      </w:r>
    </w:p>
    <w:p>
      <w:r>
        <w:rPr>
          <w:rFonts w:ascii="Times New Roman" w:hAnsi="Times New Roman"/>
          <w:b w:val="0"/>
          <w:i w:val="0"/>
          <w:sz w:val="22"/>
        </w:rPr>
        <w:t>[17] Benjamini Y, Hochberg Y. Controlling the false discovery rate: a practical and powerful approach to multiple testing. J R Stat Soc B. 1995;57(1):289-300.</w:t>
      </w:r>
    </w:p>
    <w:p>
      <w:r>
        <w:rPr>
          <w:rFonts w:ascii="Times New Roman" w:hAnsi="Times New Roman"/>
          <w:b w:val="0"/>
          <w:i w:val="0"/>
          <w:sz w:val="22"/>
        </w:rPr>
        <w:t>[18] Sánchez-Carranza O, Chakrabarti S, Kühnemund J, et al. Piezo2 voltage-block regulates mechanical pain sensitivity. Brain. 2024;147(10):3487-3500. doi:10.1093/brain/awae227. PMID: 38984717.</w:t>
      </w:r>
    </w:p>
    <w:p>
      <w:r>
        <w:rPr>
          <w:rFonts w:ascii="Times New Roman" w:hAnsi="Times New Roman"/>
          <w:b w:val="0"/>
          <w:i w:val="0"/>
          <w:sz w:val="22"/>
        </w:rPr>
        <w:t>[19] Chesler AT, Szczot M, Bharucha-Goebel D, et al. The role of PIEZO2 in human mechanosensation. N Engl J Med. 2016;375(14):1355-1364. doi:10.1056/NEJMoa1602812. PMID: 27653382.</w:t>
      </w:r>
    </w:p>
    <w:p>
      <w:r>
        <w:rPr>
          <w:rFonts w:ascii="Times New Roman" w:hAnsi="Times New Roman"/>
          <w:b w:val="0"/>
          <w:i w:val="0"/>
          <w:sz w:val="22"/>
        </w:rPr>
        <w:t>[20] Dworkin RH, O'Connor AB, Backonja M, et al. Pharmacologic management of neuropathic pain: evidence-based recommendations. Pain. 2007;132(3):237-251. doi:10.1016/j.pain.2007.08.033. PMID: 17920770.</w:t>
      </w:r>
    </w:p>
    <w:p>
      <w:r>
        <w:rPr>
          <w:rFonts w:ascii="Times New Roman" w:hAnsi="Times New Roman"/>
          <w:b w:val="0"/>
          <w:i w:val="0"/>
          <w:sz w:val="22"/>
        </w:rPr>
        <w:t>[21] Nguyen MQ, von Buchholtz LJ, Reker AN, Rycroft KM, Ma J. Single-nucleus transcriptomic analysis of human dorsal root ganglion neurons. Elife. 2021;10:e71752. doi:10.7554/eLife.71752. PMID: 34825887.</w:t>
      </w:r>
    </w:p>
    <w:sectPr w:rsidR="00FC693F" w:rsidRPr="0006063C" w:rsidSect="00034616">
      <w:footerReference w:type="default" r:id="rId14"/>
      <w:pgSz w:w="12240" w:h="15840"/>
      <w:pgMar w:top="1440" w:right="1800" w:bottom="1440" w:left="1800" w:header="720" w:footer="720" w:gutter="0"/>
      <w:cols w:space="720"/>
      <w:docGrid w:linePitch="360"/>
      <w:lnNumType w:countBy="1" w:start="1" w:num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