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programmes in human sensory neurons: a prospectively specified reanalysis of GSE342782</w:t>
      </w:r>
    </w:p>
    <w:p>
      <w:r>
        <w:rPr>
          <w:rFonts w:ascii="Times New Roman" w:hAnsi="Times New Roman"/>
          <w:b/>
          <w:i w:val="0"/>
          <w:sz w:val="24"/>
        </w:rPr>
        <w:t>Yongxin Yang, B.M.</w:t>
      </w:r>
    </w:p>
    <w:p>
      <w:r>
        <w:rPr>
          <w:rFonts w:ascii="Times New Roman" w:hAnsi="Times New Roman"/>
          <w:sz w:val="24"/>
        </w:rPr>
        <w:t>The Second Affiliated Hospital of Fujian University of Traditional Chinese Medicine, Fuzhou, Fujian 350003, China</w:t>
      </w:r>
    </w:p>
    <w:p>
      <w:r>
        <w:rPr>
          <w:rFonts w:ascii="Times New Roman" w:hAnsi="Times New Roman"/>
          <w:sz w:val="24"/>
        </w:rPr>
        <w:t>Correspondence: 960856791@qq.com | ORCID: 0009-0004-9698-6552</w:t>
      </w:r>
    </w:p>
    <w:p>
      <w:r>
        <w:rPr>
          <w:rFonts w:ascii="Times New Roman" w:hAnsi="Times New Roman"/>
          <w:sz w:val="24"/>
        </w:rPr>
        <w:t>Running title: Route-dependent channel programmes in VZV-exposed sensory neurons</w:t>
      </w:r>
    </w:p>
    <w:p>
      <w:r>
        <w:rPr>
          <w:rFonts w:ascii="Times New Roman" w:hAnsi="Times New Roman"/>
          <w:b/>
          <w:i w:val="0"/>
          <w:sz w:val="25"/>
        </w:rPr>
        <w:t>Abstract</w:t>
      </w:r>
    </w:p>
    <w:p>
      <w:r>
        <w:rPr>
          <w:rFonts w:ascii="Times New Roman" w:hAnsi="Times New Roman"/>
          <w:b/>
          <w:sz w:val="24"/>
        </w:rPr>
        <w:t>Background.</w:t>
      </w:r>
      <w:r>
        <w:rPr>
          <w:rFonts w:ascii="Times New Roman" w:hAnsi="Times New Roman"/>
          <w:sz w:val="24"/>
        </w:rPr>
        <w:t xml:space="preserve"> Mechanical allodynia is a cardinal symptom of postherpetic neuralgia (PHN), yet the mechanotransduction dimension has seldom been examined in the PHN transcriptomic literature. GSE342782 — bulk RNA-sequencing of differentiated human sensory neurons exposed to direct varicella-zoster virus (VZV) infection or to serum exosomes from healthy controls, acute herpes zoster (HZ), and PHN patients — enables a mechano-transcriptional test in a human neuronal model.</w:t>
      </w:r>
    </w:p>
    <w:p>
      <w:r>
        <w:rPr>
          <w:rFonts w:ascii="Times New Roman" w:hAnsi="Times New Roman"/>
          <w:b/>
          <w:sz w:val="24"/>
        </w:rPr>
        <w:t>Methods.</w:t>
      </w:r>
      <w:r>
        <w:rPr>
          <w:rFonts w:ascii="Times New Roman" w:hAnsi="Times New Roman"/>
          <w:sz w:val="24"/>
        </w:rPr>
        <w:t xml:space="preserve"> We fixed a frozen four-module mechano-transduction panel (M1 mechanogated channels; M2 membrane-cytoskeleton coupling; M3 ECM-integrin-Hippo; M4 mechano-effectors) with an electrochemical nociceptor module (E1) and three neutral controls (N1-N3) before examining the data. The single primary endpoint was the M3 module-score difference between acute-HZ-serum exosomes and control exosomes. Inference used Welch's </w:t>
      </w:r>
      <w:r>
        <w:rPr>
          <w:rFonts w:ascii="Times New Roman" w:hAnsi="Times New Roman"/>
          <w:i/>
          <w:sz w:val="24"/>
        </w:rPr>
        <w:t>t</w:t>
      </w:r>
      <w:r>
        <w:rPr>
          <w:rFonts w:ascii="Times New Roman" w:hAnsi="Times New Roman"/>
          <w:sz w:val="24"/>
        </w:rPr>
        <w:t xml:space="preserve">, Mann-Whitney </w:t>
      </w:r>
      <w:r>
        <w:rPr>
          <w:rFonts w:ascii="Times New Roman" w:hAnsi="Times New Roman"/>
          <w:i/>
          <w:sz w:val="24"/>
        </w:rPr>
        <w:t>U</w:t>
      </w:r>
      <w:r>
        <w:rPr>
          <w:rFonts w:ascii="Times New Roman" w:hAnsi="Times New Roman"/>
          <w:sz w:val="24"/>
        </w:rPr>
        <w:t>, and exact label-permutation nulls, with Benjamini-Hochberg correction across the eight modules.</w:t>
      </w:r>
    </w:p>
    <w:p>
      <w:r>
        <w:rPr>
          <w:rFonts w:ascii="Times New Roman" w:hAnsi="Times New Roman"/>
          <w:b/>
          <w:sz w:val="24"/>
        </w:rPr>
        <w:t>Results.</w:t>
      </w:r>
      <w:r>
        <w:rPr>
          <w:rFonts w:ascii="Times New Roman" w:hAnsi="Times New Roman"/>
          <w:sz w:val="24"/>
        </w:rPr>
        <w:t xml:space="preserve"> The primary endpoint was a bounded null: M3 did not shift under HZ-serum exosomes (difference -0.049 log2CPM; permutation P = 0.42; 95% CI -0.18 to +0.08; minimum detectable effect at 80% power = 0.18 log2CPM), nor under any other contrast (all P &gt;= 0.83). The pre-specified secondary endpoint showed a coherent, channel-class-selective signal: HZ-serum exosomes suppressed electrochemical nociceptor channels (E1, -0.220 log2CPM; P = 0.013; q = 0.034), driven by TRPV1, SCN9A and SCN10A down-regulation, while the mechanogated module was not significantly down (M1, P = 0.11; PIEZO2 gene P = 0.18). A contrast-of-contrasts test confirmed selective E1 suppression relative to M1 (interaction P = 0.0017); the reciprocal VZV pattern was not significant (interaction P = 0.19).</w:t>
      </w:r>
    </w:p>
    <w:p>
      <w:r>
        <w:rPr>
          <w:rFonts w:ascii="Times New Roman" w:hAnsi="Times New Roman"/>
          <w:b/>
          <w:sz w:val="24"/>
        </w:rPr>
        <w:t>Conclusions.</w:t>
      </w:r>
      <w:r>
        <w:rPr>
          <w:rFonts w:ascii="Times New Roman" w:hAnsi="Times New Roman"/>
          <w:sz w:val="24"/>
        </w:rPr>
        <w:t xml:space="preserve"> In human sensory neurons, acute-HZ serum exosomes produce a route-dependent, channel-class-selective suppression of the electrogenic nociceptor programme over the mechanogated one, whereas the ECM-Hippo stiffness programme is transcriptionally inert within a bounded null. The allodynia relevance of this shift is hypothesis-generating and model-bound.</w:t>
      </w:r>
    </w:p>
    <w:p>
      <w:r>
        <w:rPr>
          <w:rFonts w:ascii="Times New Roman" w:hAnsi="Times New Roman"/>
          <w:b/>
          <w:sz w:val="24"/>
        </w:rPr>
        <w:t>Registration.</w:t>
      </w:r>
      <w:r>
        <w:rPr>
          <w:rFonts w:ascii="Times New Roman" w:hAnsi="Times New Roman"/>
          <w:sz w:val="24"/>
        </w:rPr>
        <w:t xml:space="preserve"> The analysis plan, frozen panel, and endpoint hierarchy were fixed before data examination and deposited in a versioned public protocol (protocol v0.4; frozen panel tag `mtp-frozen-2026-10-19`); no external registry entry exists.</w:t>
      </w:r>
    </w:p>
    <w:p>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r>
        <w:rPr>
          <w:rFonts w:ascii="Times New Roman" w:hAnsi="Times New Roman"/>
          <w:sz w:val="24"/>
        </w:rPr>
        <w:t>Postherpetic neuralgia (PHN) is defined by dermatomal pain persisting at least 90 days after the acute herpes zoster rash, and is clinically characterized by mechanical allodynia — innocuous cutaneous stimuli transduced as pain [1,2]. The symptom is, at its core, a disturbance of mechanotransduction, yet the genomic literature of PHN has seldom examined it through that lens. Published bioinformatic reanalyses of PHN cohorts have concentrated on interferon, immune, and inflammatory programmes [1]; none has systematically interrogated the mechanotransduction machinery — mechanogated ion channels, the membrane-cytoskeleton interface, or the extracellular-matrix (ECM)-integrin-Hippo axis.</w:t>
      </w:r>
    </w:p>
    <w:p>
      <w:r>
        <w:rPr>
          <w:rFonts w:ascii="Times New Roman" w:hAnsi="Times New Roman"/>
          <w:sz w:val="24"/>
        </w:rPr>
        <w:t>Two developments make such an examination timely. First,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 [3]. The original study reported down-regulation of canonical nociceptive ion channels, induction of substance-P-related neuropeptides, and ECM-remodelling signals, but did not examine these findings through a mechanotransduction lens. Second, extracorporeal shockwave therapy (ESWT) — the deliberate application of controlled mechanical stress — has shown some benefit in herpetic neuralgia in small trials [4,7-9], and its molecular mechanism has been mapped onto integrin-FAK-p38MAPK and Piezo/TRP signalling [10,11]. The same mechanical axis appears at both the disease end (allodynia) and the treatment end (mechanotherapy) of PHN, yet no study has connected them transcriptomically.</w:t>
      </w:r>
    </w:p>
    <w:p>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programme" — the hypothesised core of the mechanical axis — respond to any perturbation route? (iii) Do direct viral infection and exosome-mediated signalling converge on, or dissociate between, mechanogated versus electrochemical channel programmes?</w:t>
      </w:r>
    </w:p>
    <w:p>
      <w:r>
        <w:rPr>
          <w:rFonts w:ascii="Times New Roman" w:hAnsi="Times New Roman"/>
          <w:b/>
          <w:i w:val="0"/>
          <w:sz w:val="25"/>
        </w:rPr>
        <w:t>2. Methods</w:t>
      </w:r>
    </w:p>
    <w:p>
      <w:r>
        <w:rPr>
          <w:rFonts w:ascii="Times New Roman" w:hAnsi="Times New Roman"/>
          <w:b/>
          <w:i w:val="0"/>
          <w:sz w:val="24"/>
        </w:rPr>
        <w:t>2.1 Data source and design</w:t>
      </w:r>
    </w:p>
    <w:p>
      <w:r>
        <w:rPr>
          <w:rFonts w:ascii="Times New Roman" w:hAnsi="Times New Roman"/>
          <w:sz w:val="24"/>
        </w:rPr>
        <w:t>GSE342782 (GEO accession GSE342782; BioProject PRJNA1508885) comprises two experiments in differentiated HD10.6 human sensory neurons [3].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 Sample-to-group assignment used the column prefixes of the count matrices (C = control, P = PHN, S = acute zoster), which match the group sizes reported in the series metadata (7/5/7).</w:t>
      </w:r>
    </w:p>
    <w:p>
      <w:r>
        <w:rPr>
          <w:rFonts w:ascii="Times New Roman" w:hAnsi="Times New Roman"/>
          <w:b/>
          <w:i w:val="0"/>
          <w:sz w:val="24"/>
        </w:rPr>
        <w:t>2.2 Prospectively specified analysis plan</w:t>
      </w:r>
    </w:p>
    <w:p>
      <w:r>
        <w:rPr>
          <w:rFonts w:ascii="Times New Roman" w:hAnsi="Times New Roman"/>
          <w:sz w:val="24"/>
        </w:rPr>
        <w:t>Before any expression data were examined, the following were fixed in writing and deposited in a versioned public protocol (protocol v0.4; panel tag `mtp-frozen-2026-10-19`):</w:t>
      </w:r>
    </w:p>
    <w:p>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 Module coverage after matching against the count matrix: M1-M4 and E1-N1 were fully represented (9/9, 20/20, 56/58, 25/25, 18/18, 17/17 genes); M3 lacked CYR61 and CTGF (56/58); N2 lacked OR6A1, OR10A1, OR13C1 (13/16); N3 lacked RPS4 (17/18; an RPS4X ortholog was present).</w:t>
      </w:r>
    </w:p>
    <w:p>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 [3], the PHN contrast was pre-designated exploratory and the HZ-versus-control contrast was designated the primary comparison.</w:t>
      </w:r>
    </w:p>
    <w:p>
      <w:r>
        <w:rPr>
          <w:rFonts w:ascii="Times New Roman" w:hAnsi="Times New Roman"/>
          <w:b/>
          <w:i w:val="0"/>
          <w:sz w:val="24"/>
        </w:rPr>
        <w:t>2.3 Preprocessing and module scoring</w:t>
      </w:r>
    </w:p>
    <w:p>
      <w:r>
        <w:rPr>
          <w:rFonts w:ascii="Times New Roman" w:hAnsi="Times New Roman"/>
          <w:sz w:val="24"/>
        </w:rPr>
        <w:t>Counts were converted to counts-per-million (CPM) and module scores computed as the mean log2(1 + CPM) across panel genes present in the matrix. Detection was defined as CPM &gt; 1.</w:t>
      </w:r>
    </w:p>
    <w:p>
      <w:r>
        <w:rPr>
          <w:rFonts w:ascii="Times New Roman" w:hAnsi="Times New Roman"/>
          <w:b/>
          <w:i w:val="0"/>
          <w:sz w:val="24"/>
        </w:rPr>
        <w:t>2.4 Statistical testing</w:t>
      </w:r>
    </w:p>
    <w:p>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 xml:space="preserve">-test and the Mann-Whitney </w:t>
      </w:r>
      <w:r>
        <w:rPr>
          <w:rFonts w:ascii="Times New Roman" w:hAnsi="Times New Roman"/>
          <w:i/>
          <w:sz w:val="24"/>
        </w:rPr>
        <w:t>U</w:t>
      </w:r>
      <w:r>
        <w:rPr>
          <w:rFonts w:ascii="Times New Roman" w:hAnsi="Times New Roman"/>
          <w:sz w:val="24"/>
        </w:rPr>
        <w:t xml:space="preserve">-test,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 The channel-complementarity index (CCI) — the within-sample difference between the mean expression rank of M1 genes and that of E1 genes across all 43,236 matrix genes — was computed per sample and compared between groups with the same permutation scheme. Gene-level contrasts are reported as Welch </w:t>
      </w:r>
      <w:r>
        <w:rPr>
          <w:rFonts w:ascii="Times New Roman" w:hAnsi="Times New Roman"/>
          <w:i/>
          <w:sz w:val="24"/>
        </w:rPr>
        <w:t>t</w:t>
      </w:r>
      <w:r>
        <w:rPr>
          <w:rFonts w:ascii="Times New Roman" w:hAnsi="Times New Roman"/>
          <w:sz w:val="24"/>
        </w:rPr>
        <w:t>-tests on log2(1 + CPM) values and are presented as descriptive support for the module-level findings, not as separately corrected discovery claims.</w:t>
      </w:r>
    </w:p>
    <w:p>
      <w:r>
        <w:rPr>
          <w:rFonts w:ascii="Times New Roman" w:hAnsi="Times New Roman"/>
          <w:b/>
          <w:i w:val="0"/>
          <w:sz w:val="24"/>
        </w:rPr>
        <w:t>2.5 Reproducibility</w:t>
      </w:r>
    </w:p>
    <w:p>
      <w:r>
        <w:rPr>
          <w:rFonts w:ascii="Times New Roman" w:hAnsi="Times New Roman"/>
          <w:sz w:val="24"/>
        </w:rPr>
        <w:t>All analyses were executed in Python 3.13 (pandas 2.3.3, SciPy 1.18.1, Matplotlib 3.11.1). Every result file carries a SHA-256 manifest linking it to the exact input files and the frozen panel. All numerical values quoted in this manuscript are traceable to `layer1_results.json` in the reproducibility package.</w:t>
      </w:r>
    </w:p>
    <w:p>
      <w:r>
        <w:rPr>
          <w:rFonts w:ascii="Times New Roman" w:hAnsi="Times New Roman"/>
          <w:b/>
          <w:i w:val="0"/>
          <w:sz w:val="25"/>
        </w:rPr>
        <w:t>3. Results</w:t>
      </w:r>
    </w:p>
    <w:p>
      <w:r>
        <w:rPr>
          <w:rFonts w:ascii="Times New Roman" w:hAnsi="Times New Roman"/>
          <w:b/>
          <w:i w:val="0"/>
          <w:sz w:val="24"/>
        </w:rPr>
        <w:t>3.1 Data examination: PIEZO2 and P2RX3 are robustly expressed; TRPV4 and STOML3 are not detectable</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w:t>
      </w:r>
    </w:p>
    <w:p>
      <w:r>
        <w:rPr>
          <w:rFonts w:ascii="Times New Roman" w:hAnsi="Times New Roman"/>
          <w:sz w:val="24"/>
        </w:rPr>
        <w:t>The prospectively specified data-examination gate established the expression baseline of the model (Table 1). The HD10.6 line — a tetracycline-regulatable v-myc immortalised embryonic dorsal root ganglion clonal line, not an iPSC-derived model [5,6] — expressed PIEZO2 at high levels (mean CPM 245.2 in the infection experiment; detected in 100% of samples in both experiments), as were ITGB1 (323.6 CPM) and the electrochemical nociceptor channels SCN9A (mean log2CPM 8.39) and TRPV1 (7.02).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MMP9-centred mechanisms is out of scope for this dataset.</w:t>
      </w:r>
    </w:p>
    <w:p>
      <w:r>
        <w:rPr>
          <w:rFonts w:ascii="Times New Roman" w:hAnsi="Times New Roman"/>
          <w:b/>
          <w:sz w:val="24"/>
        </w:rPr>
        <w:t>Table 1. Detection baseline of mechanotransduction-relevant genes (mean CPM; detected = CPM &gt; 1 in 100% of samples unless noted).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programme is transcriptionally inert within a bounded null</w:t>
      </w:r>
    </w:p>
    <w:p>
      <w:r>
        <w:rPr>
          <w:rFonts w:ascii="Times New Roman" w:hAnsi="Times New Roman"/>
          <w:sz w:val="24"/>
        </w:rPr>
        <w:t>The pre-specified primary endpoint — the M3 difference between HZ-serum exosomes and control exosomes — was -0.049 log2CPM (permutation P = 0.42; BH q = 0.46). We therefore report a bounded null: with seven versus seven samples and a 56-gene module, the minimum detectable effect at 80% power was 0.18 log2CPM, and the observed difference sits well inside its 95% confidence interval (Welch -0.18 to +0.08; permutation-inversion -0.16 to +0.06). The null was not contrast-specific: M3 was likewise unchanged under direct VZV infection (P = 0.85), under PHN exosomes (P = 0.83), and M4 mechano-effectors was null under HZ exosomes (P = 0.46) but, notably, was suppressed under direct VZV infection (-0.054; P = 0.03). At the gene level the M3 module was directionally incoherent — COL4A1 (-0.381, P = 0.005), COL4A2 (-0.627, P = 0.007), ADAMTS1 (-0.479, P = 0.013) and TEAD1 (-0.339, P = 0.047) moved downward while LOX (+0.291, P = 0.024) and YAP1 (+0.425, P = 0.18) moved upward — indicating genuine null aggregation rather than cancellation of a coherent shift. We emphasise that this null is a substantive result: at the neuronal mRNA level, and within 36 hours of exosome exposure, the stiffness programme does not respond to VZV-related perturbation.</w:t>
      </w:r>
    </w:p>
    <w:p>
      <w:r>
        <w:rPr>
          <w:rFonts w:ascii="Times New Roman" w:hAnsi="Times New Roman"/>
          <w:b/>
          <w:i w:val="0"/>
          <w:sz w:val="24"/>
        </w:rPr>
        <w:t>3.3 Secondary endpoint: HZ-serum exosomes suppress electrochemical nociceptor channels with channel-class selectivity</w:t>
      </w:r>
    </w:p>
    <w:p>
      <w:r>
        <w:rPr>
          <w:rFonts w:ascii="Times New Roman" w:hAnsi="Times New Roman"/>
          <w:sz w:val="24"/>
        </w:rPr>
        <w:t>Under the same primary contrast, the pre-specified secondary module E1 (electrochemical nociceptor channels) was significantly suppressed (-0.220 log2CPM; permutation P = 0.013; BH q = 0.034; 95% CI -0.38 to -0.06), whereas all four mechano-modules were not (M1 -0.078, P = 0.11; M2 -0.148, P = 0.068). Gene-level analysis showed a coherent downward shift across the classical nociceptor apparatus: TRPV1 (-0.567, P &lt; 0.001), KCNS1 (-0.393, P = 0.017), SCN10A (-0.384, P = 0.008), SCN9A (-0.323, P = 0.018), ASIC1 (-0.181, P = 0.019) and ASIC2 (-0.296, P = 0.042). SCN10A (Nav1.8) merits a caveat: its mean CPM in the exosome experiment was 0.55 (detected in only 11% of samples), below the study's own detection threshold, so the Nav1.8 result is reported descriptively and not treated as a confirmed signal. Critically, PIEZO2 — the dominant mechanogated channel of this model — was not suppressed (-0.282, P = 0.18; 95% CI for the gene-level difference approximately -0.72 to +0.15), a resolution-limited null at the gene level. This constitutes the "channel-imbalance" signature anticipated in the plan: dampening of electrochemical nociceptive output with non-significant mechanical-gating down-regulation.</w:t>
      </w:r>
    </w:p>
    <w:p>
      <w:r>
        <w:rPr>
          <w:rFonts w:ascii="Times New Roman" w:hAnsi="Times New Roman"/>
          <w:b/>
          <w:i w:val="0"/>
          <w:sz w:val="24"/>
        </w:rPr>
        <w:t>3.4 Route dependence tested by contrast-of-contrasts, not by significant-versus-not</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for the primary contrast (HZ-exo vs control-exo), with neutral controls displayed alongside. E1 is the only biological module significantly shifted.</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2b_cci.pn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2b. Channel-complementarity index (CCI) differences by contrast (all non-significant).</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2c_E1_genes.png"/>
                    <pic:cNvPicPr/>
                  </pic:nvPicPr>
                  <pic:blipFill>
                    <a:blip r:embed="rId12"/>
                    <a:stretch>
                      <a:fillRect/>
                    </a:stretch>
                  </pic:blipFill>
                  <pic:spPr>
                    <a:xfrm>
                      <a:off x="0" y="0"/>
                      <a:ext cx="5303520" cy="3409406"/>
                    </a:xfrm>
                    <a:prstGeom prst="rect"/>
                  </pic:spPr>
                </pic:pic>
              </a:graphicData>
            </a:graphic>
          </wp:inline>
        </w:drawing>
      </w:r>
    </w:p>
    <w:p>
      <w:pPr>
        <w:jc w:val="center"/>
      </w:pPr>
      <w:r>
        <w:rPr>
          <w:rFonts w:ascii="Times New Roman" w:hAnsi="Times New Roman"/>
          <w:b w:val="0"/>
          <w:i/>
          <w:sz w:val="20"/>
        </w:rPr>
        <w:t>Figure 2c. Gene-level differences within E1 for the primary contrast: coherent suppression of classical nociceptor channels.</w:t>
      </w:r>
    </w:p>
    <w:p>
      <w:pPr>
        <w:jc w:val="center"/>
      </w:pPr>
      <w:r>
        <w:drawing>
          <wp:inline xmlns:a="http://schemas.openxmlformats.org/drawingml/2006/main" xmlns:pic="http://schemas.openxmlformats.org/drawingml/2006/picture">
            <wp:extent cx="5303520" cy="2456367"/>
            <wp:docPr id="5" name="Picture 5"/>
            <wp:cNvGraphicFramePr>
              <a:graphicFrameLocks noChangeAspect="1"/>
            </wp:cNvGraphicFramePr>
            <a:graphic>
              <a:graphicData uri="http://schemas.openxmlformats.org/drawingml/2006/picture">
                <pic:pic>
                  <pic:nvPicPr>
                    <pic:cNvPr id="0" name="fig2d_dissociation.png"/>
                    <pic:cNvPicPr/>
                  </pic:nvPicPr>
                  <pic:blipFill>
                    <a:blip r:embed="rId13"/>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2d. Perturbation route and channel programme: E1-selective suppression under HZ exosomes (interaction P = 0.0017); reciprocal VZV pattern not significant (P = 0.19).</w:t>
      </w:r>
    </w:p>
    <w:p>
      <w:r>
        <w:rPr>
          <w:rFonts w:ascii="Times New Roman" w:hAnsi="Times New Roman"/>
          <w:sz w:val="24"/>
        </w:rPr>
        <w:t>To test whether the route determines which channel programme shifts, we computed the interaction (difference-in-differences) between the E1 and M1 module scores. For the exosome contrast, (E1 difference - M1 difference) = -0.142 log2CPM with exact permutation P = 0.0017, confirming that HZ-serum exosomes suppress E1 selectively relative to M1. For the direct-infection contrast, (M1 difference - E1 difference) = -0.051 with exact permutation P = 0.19, so the reciprocal "M1-selective" pattern is not supported at the interaction level. This asymmetry is consistent with the gene-level picture under VZV: the mechanogated module M1 was borderline down (-0.050; P = 0.05; Welch P = 0.047) and M4 mechano-effectors were suppressed (P = 0.03), but E1 was null (+0.0005; P = 0.996) while individual E1 genes TRPV1 (P &lt; 0.01) and SCN9A (P = 0.024) were themselves down-regulated. The clean "double dissociation" suggested by module-level P values therefore does not survive the direct interaction test: the E1-selective effect of HZ exosomes is robust, whereas the M1-selective effect of VZV is weak and inconsistent. We read this as hypothesis-generating, not as an established symmetric dissociation.</w:t>
      </w:r>
    </w:p>
    <w:p>
      <w:r>
        <w:rPr>
          <w:rFonts w:ascii="Times New Roman" w:hAnsi="Times New Roman"/>
          <w:b/>
          <w:i w:val="0"/>
          <w:sz w:val="24"/>
        </w:rPr>
        <w:t>3.5 Exploratory PHN-exosome contrast: non-specific and confounded</w:t>
      </w:r>
    </w:p>
    <w:p>
      <w:r>
        <w:rPr>
          <w:rFonts w:ascii="Times New Roman" w:hAnsi="Times New Roman"/>
          <w:sz w:val="24"/>
        </w:rPr>
        <w:t>PHN-serum exosomes produced larger and broader shifts than HZ exosomes: M1 (-0.119; P = 0.009; q = 0.024), E1 (-0.197; P = 0.005; q = 0.020), M2 (-0.178; P = 0.030) —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 [3], we report this contrast as non-specific and confounded, and it plays no confirmatory role in our conclusions.</w:t>
      </w:r>
    </w:p>
    <w:p>
      <w:r>
        <w:rPr>
          <w:rFonts w:ascii="Times New Roman" w:hAnsi="Times New Roman"/>
          <w:b/>
          <w:i w:val="0"/>
          <w:sz w:val="24"/>
        </w:rPr>
        <w:t>3.6 Neutral controls, calibration, and reporting discipline</w:t>
      </w:r>
    </w:p>
    <w:p>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and more strongly by PHN exosomes (+0.577; P = 0.001) — it behaves as an exposure (positive) control reflecting a genuine translational-programme response to exosome exposure, not as a neutral baseline. Third, N1 overlaps E1 by two genes (KCNQ2, KCNQ3) that move with E1 under PHN exosomes; the N1 "control" signal under PHN therefore shares machinery with the E1 signal and is disclosed as such. Global-shift diagnostics confirmed no genome-wide drift confounded the module scores: per-sample mean log2CPM values were near-identical across all 19 exosome samples (range 1.55 to 1.61). The CCI did not differ between groups under any contrast (all permutation P &gt;= 0.82), consistent with the rank-based CCI being null-by-construction at the absolute scale that drives the module-level E1 signal; CCI is reported as a relative-displacement negative control, not as confirmatory evidence.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r>
        <w:rPr>
          <w:rFonts w:ascii="Times New Roman" w:hAnsi="Times New Roman"/>
          <w:b/>
          <w:i w:val="0"/>
          <w:sz w:val="25"/>
        </w:rPr>
        <w:t>4. Discussion</w:t>
      </w:r>
    </w:p>
    <w:p>
      <w:r>
        <w:rPr>
          <w:rFonts w:ascii="Times New Roman" w:hAnsi="Times New Roman"/>
          <w:b/>
          <w:i w:val="0"/>
          <w:sz w:val="24"/>
        </w:rPr>
        <w:t>4.1 A route-dependent, channel-class-selective signal — hypothesis-generating, not a proven allodynia substrate</w:t>
      </w:r>
    </w:p>
    <w:p>
      <w:r>
        <w:rPr>
          <w:rFonts w:ascii="Times New Roman" w:hAnsi="Times New Roman"/>
          <w:sz w:val="24"/>
        </w:rPr>
        <w:t>The central empirical contribution of this reanalysis is a channel-class-selective signature: acute-HZ serum exosomes suppress the electrochemical nociceptor apparatus (TRPV1, Nav1.7/Nav1.8, ASICs) more than the mechanogated one (interaction P = 0.0017), while the ECM-Hippo stiffness programme is inert within a bounded null. We deliberately do not present this as a transcriptomic "substrate for mechanical allodynia." The established mechanotransduction literature points the opposite way: allodynia is predominantly a gain of mechanosensory function — Piezo2 gain-of-function mutations increase mechanical pain sensitivity [14,15], and SCN9A loss-of-function causes congenital insensitivity to pain [13]. Reduced electrochemical-channel expression in this neuronal model is therefore most parsimoniously a shift in signalling mode (the source study likewise reports down-regulated nociceptive channels and up-regulated substance P [3]) rather than a direct allodynia mechanism. The allodynia relevance of the observed shift is hypothesis-generating and model-bound, and requires in vivo validation before any causal claim.</w:t>
      </w:r>
    </w:p>
    <w:p>
      <w:r>
        <w:rPr>
          <w:rFonts w:ascii="Times New Roman" w:hAnsi="Times New Roman"/>
          <w:b/>
          <w:i w:val="0"/>
          <w:sz w:val="24"/>
        </w:rPr>
        <w:t>4.2 Route dependence and its implications</w:t>
      </w:r>
    </w:p>
    <w:p>
      <w:r>
        <w:rPr>
          <w:rFonts w:ascii="Times New Roman" w:hAnsi="Times New Roman"/>
          <w:sz w:val="24"/>
        </w:rPr>
        <w:t>The interaction test shows the route of perturbation matters, but asymmetrically: exosomes from acute zoster produce a robust, selective E1 suppression, whereas direct VZV infection does not produce a statistically supported selective M1 effect. This argues against treating "VZV effects on sensory neurons" as a single biological category: intracellular viral replication and systemic extracellular-vesicle signalling are not interchangeable models, and conclusions from one cannot be exported to the other. It also identifies exosomes as the plausible carrier of the systemic-to-neuronal signal that follows acute zoster, aligning with the growing literature on extracellular-vesicle-mediated pain signalling.</w:t>
      </w:r>
    </w:p>
    <w:p>
      <w:r>
        <w:rPr>
          <w:rFonts w:ascii="Times New Roman" w:hAnsi="Times New Roman"/>
          <w:b/>
          <w:i w:val="0"/>
          <w:sz w:val="24"/>
        </w:rPr>
        <w:t>4.3 The inert stiffness programme redirects the mechanical search</w:t>
      </w:r>
    </w:p>
    <w:p>
      <w:r>
        <w:rPr>
          <w:rFonts w:ascii="Times New Roman" w:hAnsi="Times New Roman"/>
          <w:sz w:val="24"/>
        </w:rPr>
        <w:t>Perhaps the most consequential finding for the mechanotransduction field is what did not move. The ECM-integrin-Hippo programme — the transcriptional core of cellular mechanotransduction — was inert under every perturbation route, within a bounded null (MDE 0.18 log2CPM). Three explanations deserve attention. (i) The programme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remodelling requires longer time constants. (iii) mRNA may be uncoupled from mechanotransduction, which is largely regulated post-translationally. Whichever applies, the practical redirection is the same: the mechanical axis in PHN should be pursued in non-neuronal compartments — DRG satellite glia, skin, and serum — and in spatially resolved tissue data. This reframing is relevant to mechanotherapy: the machinery engaged by ESWT (integrin-FAK-p38MAPK; Piezo/TRP signalling) resides in those compartments [10,11], and ESWT has shown benefit in herpetic neuralgia in small trials [4,7-9], although the largest randomized trial reported pain reduction without a significant time-by-group interaction [7]. We do not assert a YAP/TAZ-specific ESWT mechanism, which the cited works do not test.</w:t>
      </w:r>
    </w:p>
    <w:p>
      <w:r>
        <w:rPr>
          <w:rFonts w:ascii="Times New Roman" w:hAnsi="Times New Roman"/>
          <w:b/>
          <w:i w:val="0"/>
          <w:sz w:val="24"/>
        </w:rPr>
        <w:t>4.4 Limitations</w:t>
      </w:r>
    </w:p>
    <w:p>
      <w:r>
        <w:rPr>
          <w:rFonts w:ascii="Times New Roman" w:hAnsi="Times New Roman"/>
          <w:sz w:val="24"/>
        </w:rPr>
        <w:t>This study is a secondary analysis with the following constraints, each stated at design stage. (i) The model is an immortalised embryonic DRG clonal line (HD10.6), not iPSC-derived neurons and not DRG tissue; its baseline (PIEZO2/P2RX3-high, TRPV4/STOML3-absent) differs from adult nociceptors, and all findings are model-bound.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SCN10A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robust E1-selective exosome effect and requires confirmation in independent models. (vii) The analysis is hypothesis-generating throughout: no causal or therapeutic claim is made.</w:t>
      </w:r>
    </w:p>
    <w:p>
      <w:r>
        <w:rPr>
          <w:rFonts w:ascii="Times New Roman" w:hAnsi="Times New Roman"/>
          <w:b/>
          <w:i w:val="0"/>
          <w:sz w:val="25"/>
        </w:rPr>
        <w:t>5. Conclusions</w:t>
      </w:r>
    </w:p>
    <w:p>
      <w:r>
        <w:rPr>
          <w:rFonts w:ascii="Times New Roman" w:hAnsi="Times New Roman"/>
          <w:sz w:val="24"/>
        </w:rPr>
        <w:t>In a prospectively specified reanalysis of the only available human sensory-neuron resource covering VZV infection and patient-derived serum exosomes, acute-HZ serum exosomes produced a route-dependent, channel-class-selective suppression of the electrogenic nociceptor programme relative to the mechanogated one (interaction P = 0.0017), while the ECM-Hippo stiffness programme was transcriptionally inert within a bounded null (minimum detectable effect 0.18 log2CPM). The relevance of this shift to mechanical allodynia in PHN is hypothesis-generating and model-bound; the finding directs future mechanotransduction research in PHN toward non-neuronal compartments and spatially resolved designs rather than neuronal bulk transcriptomes.</w:t>
      </w:r>
    </w:p>
    <w:p>
      <w:r>
        <w:rPr>
          <w:rFonts w:ascii="Times New Roman" w:hAnsi="Times New Roman"/>
          <w:b/>
          <w:i w:val="0"/>
          <w:sz w:val="25"/>
        </w:rPr>
        <w:t>Data availability</w:t>
      </w:r>
    </w:p>
    <w:p>
      <w:r>
        <w:rPr>
          <w:rFonts w:ascii="Times New Roman" w:hAnsi="Times New Roman"/>
          <w:sz w:val="24"/>
        </w:rPr>
        <w:t>GSE342782 (processed RSEM counts and series metadata): https://ftp.ncbi.nlm.nih.gov/geo/series/GSE342nnn/GSE342782/</w:t>
      </w:r>
    </w:p>
    <w:p>
      <w:r>
        <w:rPr>
          <w:rFonts w:ascii="Times New Roman" w:hAnsi="Times New Roman"/>
          <w:sz w:val="24"/>
        </w:rPr>
        <w:t>Reproducibility package (analysis scripts, frozen panel `mtp-frozen-2026-10-19`, result JSON/CSV with SHA-256 MANIFEST, all figures): https://github.com/yyx-4113/mechano-phn-gse342782-reanalysis (tag v1.1.0).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 [3].</w:t>
      </w:r>
    </w:p>
    <w:p>
      <w:r>
        <w:rPr>
          <w:rFonts w:ascii="Times New Roman" w:hAnsi="Times New Roman"/>
          <w:b/>
          <w:i w:val="0"/>
          <w:sz w:val="25"/>
        </w:rPr>
        <w:t>Consent for publication</w:t>
      </w:r>
    </w:p>
    <w:p>
      <w:r>
        <w:rPr>
          <w:rFonts w:ascii="Times New Roman" w:hAnsi="Times New Roman"/>
          <w:sz w:val="24"/>
        </w:rPr>
        <w:t>Not applicable.</w:t>
      </w:r>
    </w:p>
    <w:p>
      <w:r>
        <w:rPr>
          <w:rFonts w:ascii="Times New Roman" w:hAnsi="Times New Roman"/>
          <w:b/>
          <w:i w:val="0"/>
          <w:sz w:val="25"/>
        </w:rPr>
        <w:t>Author contributions</w:t>
      </w:r>
    </w:p>
    <w:p>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r>
        <w:rPr>
          <w:rFonts w:ascii="Times New Roman" w:hAnsi="Times New Roman"/>
          <w:sz w:val="24"/>
        </w:rPr>
        <w:t>None.</w:t>
      </w:r>
    </w:p>
    <w:p>
      <w:r>
        <w:rPr>
          <w:rFonts w:ascii="Times New Roman" w:hAnsi="Times New Roman"/>
          <w:b/>
          <w:i w:val="0"/>
          <w:sz w:val="25"/>
        </w:rPr>
        <w:t>Declaration of interests</w:t>
      </w:r>
    </w:p>
    <w:p>
      <w:r>
        <w:rPr>
          <w:rFonts w:ascii="Times New Roman" w:hAnsi="Times New Roman"/>
          <w:sz w:val="24"/>
        </w:rPr>
        <w:t>None declared.</w:t>
      </w:r>
    </w:p>
    <w:p>
      <w:r>
        <w:rPr>
          <w:rFonts w:ascii="Times New Roman" w:hAnsi="Times New Roman"/>
          <w:b/>
          <w:i w:val="0"/>
          <w:sz w:val="25"/>
        </w:rPr>
        <w:t>Funding</w:t>
      </w:r>
    </w:p>
    <w:p>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Wang C, Zhang K, Bao Y, Liu Y, Zhou Y, Ji YH,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[2] Johnson RW, Rice ASC. Postherpetic neuralgia. N Engl J Med. 2014;371(16):1526-1533. doi:10.1056/NEJMcp1403062.</w:t>
      </w:r>
    </w:p>
    <w:p>
      <w:r>
        <w:rPr>
          <w:rFonts w:ascii="Times New Roman" w:hAnsi="Times New Roman"/>
          <w:b w:val="0"/>
          <w:i w:val="0"/>
          <w:sz w:val="22"/>
        </w:rPr>
        <w:t>[3] Niemeyer CS, Frietze S, Lewis SWR, Artman EC, Coughlan C, Vaseemuddin SI, et al. Circulating exosomes drive persistent neuronal dysfunction in post-herpetic neuralgia patients. Ann Neurol. 2026. doi:10.1002/ana.78352. [Epub ahead of print].</w:t>
      </w:r>
    </w:p>
    <w:p>
      <w:r>
        <w:rPr>
          <w:rFonts w:ascii="Times New Roman" w:hAnsi="Times New Roman"/>
          <w:b w:val="0"/>
          <w:i w:val="0"/>
          <w:sz w:val="22"/>
        </w:rPr>
        <w:t>[4] Yeon JE, Ryu KH, Cho EA, Ahn JH, Shim JG, Kim J, et al. Efficacy of extracorporeal shockwave therapy for postherpetic neuralgia. Pain Pract. 2025;25(8):e70085. doi:10.1111/papr.70085. PMID: 41091131.</w:t>
      </w:r>
    </w:p>
    <w:p>
      <w:r>
        <w:rPr>
          <w:rFonts w:ascii="Times New Roman" w:hAnsi="Times New Roman"/>
          <w:b w:val="0"/>
          <w:i w:val="0"/>
          <w:sz w:val="22"/>
        </w:rPr>
        <w:t>[5] Raymon HK, Thode S, Zhou J, Friedman GC, Pardinas JR, Barrere C,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[6] Haberberger RV, Barry CM, Matusica D. Immortalized dorsal root ganglion neuron cell lines. Front Cell Neurosci. 2020;14:184. doi:10.3389/fncel.2020.00184. PMID: 32636736.</w:t>
      </w:r>
    </w:p>
    <w:p>
      <w:r>
        <w:rPr>
          <w:rFonts w:ascii="Times New Roman" w:hAnsi="Times New Roman"/>
          <w:b w:val="0"/>
          <w:i w:val="0"/>
          <w:sz w:val="22"/>
        </w:rPr>
        <w:t>[7]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[8] Lee SH, Ryu KH, Kim PO, Lee HW, Cho EA, Ahn JH,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Zhou R, Sun F, Weng Y, Ye L, Yang P. Efficacy and safety of extracorporeal shockwave therapy in patients with postherpetic neuralgia: study protocol of a randomized controlled trial. Trials. 2020;21:573. doi:10.1186/s13063-020-04564-z. PMID: 32641142.</w:t>
      </w:r>
    </w:p>
    <w:p>
      <w:r>
        <w:rPr>
          <w:rFonts w:ascii="Times New Roman" w:hAnsi="Times New Roman"/>
          <w:b w:val="0"/>
          <w:i w:val="0"/>
          <w:sz w:val="22"/>
        </w:rPr>
        <w:t>[10]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[11] Pan Y, Shi LZ, Yoon CW, Preece D, Gomez-Godinez V, Lu S, et al. Mechanosensor Piezo1 mediates bimodal patterns of intracellular calcium and FAK signaling. EMBO J. 2022;41(17):e111799. doi:10.15252/embj.202211799.</w:t>
      </w:r>
    </w:p>
    <w:p>
      <w:r>
        <w:rPr>
          <w:rFonts w:ascii="Times New Roman" w:hAnsi="Times New Roman"/>
          <w:b w:val="0"/>
          <w:i w:val="0"/>
          <w:sz w:val="22"/>
        </w:rPr>
        <w:t>[12] GSE314229 — single-cell transcriptomics of radial extracorporeal shockwave therapy identifying sEV release via ATP/P2X7R/p38MAPK signaling (Adv Sci 2026). https://ftp.ncbi.nlm.nih.gov/geo/series/GSE31nnn/GSE314229/</w:t>
      </w:r>
    </w:p>
    <w:p>
      <w:r>
        <w:rPr>
          <w:rFonts w:ascii="Times New Roman" w:hAnsi="Times New Roman"/>
          <w:b w:val="0"/>
          <w:i w:val="0"/>
          <w:sz w:val="22"/>
        </w:rPr>
        <w:t>[13] Cox JJ, Reimann F, Nicholas AK, Thornton G, Roberts E, Springell K, et al. An SCN9A channelopathy causes congenital inability to experience pain. Nature. 2006;444(7121):894-898. doi:10.1038/nature05413. PMID: 17167479.</w:t>
      </w:r>
    </w:p>
    <w:p>
      <w:r>
        <w:rPr>
          <w:rFonts w:ascii="Times New Roman" w:hAnsi="Times New Roman"/>
          <w:b w:val="0"/>
          <w:i w:val="0"/>
          <w:sz w:val="22"/>
        </w:rPr>
        <w:t>[14] Woo SH, Ranade S, Weyer AD, Dubin AE, Baba Y, Qiu Z, et al. Piezo2 is required for Merkel cell mechanotransduction. Nature. 2014;509(7502):622-626. doi:10.1038/nature13251. PMID: 24717433.</w:t>
      </w:r>
    </w:p>
    <w:p>
      <w:r>
        <w:rPr>
          <w:rFonts w:ascii="Times New Roman" w:hAnsi="Times New Roman"/>
          <w:b w:val="0"/>
          <w:i w:val="0"/>
          <w:sz w:val="22"/>
        </w:rPr>
        <w:t>[15] Murthy SE, Loud MC, Daou I, Marshall KL, Schoborg RV, Sprunger NK, et al. The mechanosensitive ion channel Piezo2 mediates sensitivity to mechanical pain in mice. Sci Transl Med. 2019;11(486):eaat9897. doi:10.1126/scitranslmed.aat9897. PMID: 30305457.</w:t>
      </w:r>
    </w:p>
    <w:p>
      <w:r>
        <w:rPr>
          <w:rFonts w:ascii="Times New Roman" w:hAnsi="Times New Roman"/>
          <w:b w:val="0"/>
          <w:i w:val="0"/>
          <w:sz w:val="22"/>
        </w:rPr>
        <w:t>[16] Li B, Dewey CN. RSEM: accurate transcript quantification from RNA-Seq data with or without a reference genome. BMC Bioinformatics. 2011;12:323. doi:10.1186/1471-2105-12-323.</w:t>
      </w:r>
    </w:p>
    <w:p>
      <w:r>
        <w:rPr>
          <w:rFonts w:ascii="Times New Roman" w:hAnsi="Times New Roman"/>
          <w:b w:val="0"/>
          <w:i w:val="0"/>
          <w:sz w:val="22"/>
        </w:rPr>
        <w:t>[17] Benjamini Y, Hochberg Y. Controlling the false discovery rate: a practical and powerful approach to multiple testing. J R Stat Soc B. 1995;57(1):289-300.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