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sustained intraoperative hypotension burden from data available at anaesthesia induction: model development and internal validation in the MOVER/SIS cohort</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Reported performance of machine-learning models for anticipating it varies widely, and near-perfect discrimination has been claimed on public datasets whose blood-pressure recordings are sparse. We developed and internally validated a model predicting cumulative hypotension burden over the remainder of surgery from data available at the anaesthesia induction anchor.</w:t>
      </w:r>
    </w:p>
    <w:p>
      <w:r>
        <w:rPr>
          <w:b/>
        </w:rPr>
        <w:t>Methods:</w:t>
      </w:r>
      <w:r>
        <w:t xml:space="preserve"> Retrospective cohort from MOVER/SIS (University of California Irvine; data use agreement). Of 19,114 screened records, 16,861 adult cases had a valid anchor (first Intubation event, 82.0%; otherwise surgery start, 18.0%). The primary outcome required ≥10 mean arterial pressure (MAP) measurements after the anchor with ≥30% below 65 mmHg. All 206 predictors were truncated at the anchor. Four models were fitted: baseline logistic (age, sex, body mass index), full logistic, XGBoost and LightGBM. Validation used a patient-level 80/20 split (primary) and a temporal split (secondary). The primary metric was area under the precision–recall curve (AUPRC); AUROC and Brier score were secondary; 1,000 bootstrap resamples gave confidence intervals. Out-of-fold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0.234 (baseline), 0.301 (full logistic) and 0.337 (LightGBM); on the temporal split it achieved 0.339 (0.291–0.395) and 0.733 (0.703–0.762). Isotonic recalibration improved the Brier score from 0.191 to 0.119 (slope 0.909; intercept 0.008). Net benefit at a threshold of 0.15 was 0.050. Performance was higher in women (0.357 vs 0.299), patients under 50 years (0.380 vs 0.186 at ≥65 years) and underweight patients (0.616). Pre-anchor mean MAP was the dominant predictor.</w:t>
      </w:r>
    </w:p>
    <w:p>
      <w:r>
        <w:rPr>
          <w:b/>
        </w:rPr>
        <w:t>Conclusions:</w:t>
      </w:r>
      <w:r>
        <w:t xml:space="preserve"> An anchor-based model using routinely recorded pre-induction data achieved modest but non-null discrimination for cumulative hypotension burden and was well calibrated. Most information resided in the pre-anchor arterial pressure level. External validation is required before clinical application.</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Hypotension Prediction Index,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case-minutes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internally validate a model for the </w:t>
      </w:r>
      <w:r>
        <w:rPr>
          <w:i/>
        </w:rPr>
        <w:t>cumulative burden</w:t>
      </w:r>
      <w:r>
        <w:t xml:space="preserve"> of hypotension over the remainder of surgery, using only information available at the anaesthesia induction anchor,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2a (development with internal validation, no external validation). The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an OR window shorter than 60 minutes;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3,559,993 one-minute OR observations. Median OR duration was 167 minutes.</w:t>
      </w:r>
    </w:p>
    <w:p>
      <w:pPr>
        <w:pStyle w:val="Heading2"/>
      </w:pPr>
      <w:r>
        <w:t>Prediction anchor</w:t>
      </w:r>
    </w:p>
    <w:p>
      <w:r>
        <w:t>The prediction anchor was the first recorded Intubation event (n = 13,834; 82.0%). Where no intubation event existed, Surgery start was used as a proxy (n = 3,027; 18.0%). The anchor occurred a median of 15 minutes (IQR 11–24) after OR start. The observation window after the anchor had a median duration of 147 minutes (5th–95th percentile 49–440).</w:t>
      </w:r>
    </w:p>
    <w:p>
      <w:pPr>
        <w:pStyle w:val="Heading2"/>
      </w:pPr>
      <w:r>
        <w:t>Outcome</w:t>
      </w:r>
    </w:p>
    <w:p>
      <w:r>
        <w:t>The primary outcome (D1) was a cumulative-burden definition aligned with the absolute-threshold framework of Salmasi et al. [1]: at least 10 MAP measurements after the anchor, of which at least 30% were below 65 mmHg. Cases with fewer than 10 post-anchor measurements were classified as negative by construction; this applied to 1,496 cases (8.9%), because the definition deliberately requires a minimum amount of evidence before a burden can be asserted.</w:t>
      </w:r>
    </w:p>
    <w:p>
      <w:r>
        <w:t>Because the choice of hypotension definition materially changes apparent performance, 14 candidate definitions were computed for every case and are reported in full (Table 2) [9].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w:t>
      </w:r>
    </w:p>
    <w:p>
      <w:r>
        <w:t>Surgical group was assigned from the free-text procedure description by keyword mapping into 12 categories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XGBoost 3.4.1 and LightGBM 4.7.0. The random seed was fixed at 12,345. Every number reported in this manuscript is generated from a result file by the analysis pipeline and is traceable through an audit trail (Additional file 1) that records, for each quantity, its value, the producing artefact and the command that reproduces it [10–12].</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(82.0)</w:t>
            </w:r>
          </w:p>
        </w:tc>
      </w:tr>
      <w:tr>
        <w:tc>
          <w:tcPr>
            <w:tcW w:type="dxa" w:w="4320"/>
          </w:tcPr>
          <w:p>
            <w:r/>
            <w:r>
              <w:t>Anchor = Surgery start (proxy) — n (%)</w:t>
            </w:r>
          </w:p>
        </w:tc>
        <w:tc>
          <w:tcPr>
            <w:tcW w:type="dxa" w:w="4320"/>
          </w:tcPr>
          <w:p>
            <w:r/>
            <w:r>
              <w:t>3,027 (18.0)</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neurosurgical</w:t>
            </w:r>
          </w:p>
        </w:tc>
        <w:tc>
          <w:tcPr>
            <w:tcW w:type="dxa" w:w="4320"/>
          </w:tcPr>
          <w:p>
            <w:r/>
            <w:r>
              <w:t>2,530 (15.0)</w:t>
            </w:r>
          </w:p>
        </w:tc>
      </w:tr>
      <w:tr>
        <w:tc>
          <w:tcPr>
            <w:tcW w:type="dxa" w:w="4320"/>
          </w:tcPr>
          <w:p>
            <w:r/>
            <w:r>
              <w:t>orthopaedic</w:t>
            </w:r>
          </w:p>
        </w:tc>
        <w:tc>
          <w:tcPr>
            <w:tcW w:type="dxa" w:w="4320"/>
          </w:tcPr>
          <w:p>
            <w:r/>
            <w:r>
              <w:t>2,407 (14.3)</w:t>
            </w:r>
          </w:p>
        </w:tc>
      </w:tr>
      <w:tr>
        <w:tc>
          <w:tcPr>
            <w:tcW w:type="dxa" w:w="4320"/>
          </w:tcPr>
          <w:p>
            <w:r/>
            <w:r>
              <w:t>urological</w:t>
            </w:r>
          </w:p>
        </w:tc>
        <w:tc>
          <w:tcPr>
            <w:tcW w:type="dxa" w:w="4320"/>
          </w:tcPr>
          <w:p>
            <w:r/>
            <w:r>
              <w:t>1,541 (9.1)</w:t>
            </w:r>
          </w:p>
        </w:tc>
      </w:tr>
      <w:tr>
        <w:tc>
          <w:tcPr>
            <w:tcW w:type="dxa" w:w="4320"/>
          </w:tcPr>
          <w:p>
            <w:r/>
            <w:r>
              <w:t>plastic</w:t>
            </w:r>
          </w:p>
        </w:tc>
        <w:tc>
          <w:tcPr>
            <w:tcW w:type="dxa" w:w="4320"/>
          </w:tcPr>
          <w:p>
            <w:r/>
            <w:r>
              <w:t>1,318 (7.8)</w:t>
            </w:r>
          </w:p>
        </w:tc>
      </w:tr>
      <w:tr>
        <w:tc>
          <w:tcPr>
            <w:tcW w:type="dxa" w:w="4320"/>
          </w:tcPr>
          <w:p>
            <w:r/>
            <w:r>
              <w:t>vascular</w:t>
            </w:r>
          </w:p>
        </w:tc>
        <w:tc>
          <w:tcPr>
            <w:tcW w:type="dxa" w:w="4320"/>
          </w:tcPr>
          <w:p>
            <w:r/>
            <w:r>
              <w:t>1,049 (6.2)</w:t>
            </w:r>
          </w:p>
        </w:tc>
      </w:tr>
      <w:tr>
        <w:tc>
          <w:tcPr>
            <w:tcW w:type="dxa" w:w="4320"/>
          </w:tcPr>
          <w:p>
            <w:r/>
            <w:r>
              <w:t>gynaecological</w:t>
            </w:r>
          </w:p>
        </w:tc>
        <w:tc>
          <w:tcPr>
            <w:tcW w:type="dxa" w:w="4320"/>
          </w:tcPr>
          <w:p>
            <w:r/>
            <w:r>
              <w:t>992 (5.9)</w:t>
            </w:r>
          </w:p>
        </w:tc>
      </w:tr>
      <w:tr>
        <w:tc>
          <w:tcPr>
            <w:tcW w:type="dxa" w:w="4320"/>
          </w:tcPr>
          <w:p>
            <w:r/>
            <w:r>
              <w:t>thoracic</w:t>
            </w:r>
          </w:p>
        </w:tc>
        <w:tc>
          <w:tcPr>
            <w:tcW w:type="dxa" w:w="4320"/>
          </w:tcPr>
          <w:p>
            <w:r/>
            <w:r>
              <w:t>958 (5.7)</w:t>
            </w:r>
          </w:p>
        </w:tc>
      </w:tr>
      <w:tr>
        <w:tc>
          <w:tcPr>
            <w:tcW w:type="dxa" w:w="4320"/>
          </w:tcPr>
          <w:p>
            <w:r/>
            <w:r>
              <w:t>ear, nose and throat</w:t>
            </w:r>
          </w:p>
        </w:tc>
        <w:tc>
          <w:tcPr>
            <w:tcW w:type="dxa" w:w="4320"/>
          </w:tcPr>
          <w:p>
            <w:r/>
            <w:r>
              <w:t>418 (2.5)</w:t>
            </w:r>
          </w:p>
        </w:tc>
      </w:tr>
      <w:tr>
        <w:tc>
          <w:tcPr>
            <w:tcW w:type="dxa" w:w="4320"/>
          </w:tcPr>
          <w:p>
            <w:r/>
            <w:r>
              <w:t>other</w:t>
            </w:r>
          </w:p>
        </w:tc>
        <w:tc>
          <w:tcPr>
            <w:tcW w:type="dxa" w:w="4320"/>
          </w:tcPr>
          <w:p>
            <w:r/>
            <w:r>
              <w:t>348 (2.1)</w:t>
            </w:r>
          </w:p>
        </w:tc>
      </w:tr>
      <w:tr>
        <w:tc>
          <w:tcPr>
            <w:tcW w:type="dxa" w:w="4320"/>
          </w:tcPr>
          <w:p>
            <w:r/>
            <w:r>
              <w:t>ophthalmic</w:t>
            </w:r>
          </w:p>
        </w:tc>
        <w:tc>
          <w:tcPr>
            <w:tcW w:type="dxa" w:w="4320"/>
          </w:tcPr>
          <w:p>
            <w:r/>
            <w:r>
              <w:t>201 (1.2)</w:t>
            </w:r>
          </w:p>
        </w:tc>
      </w:tr>
      <w:tr>
        <w:tc>
          <w:tcPr>
            <w:tcW w:type="dxa" w:w="4320"/>
          </w:tcPr>
          <w:p>
            <w:r/>
            <w:r>
              <w:t>cardiac</w:t>
            </w:r>
          </w:p>
        </w:tc>
        <w:tc>
          <w:tcPr>
            <w:tcW w:type="dxa" w:w="4320"/>
          </w:tcPr>
          <w:p>
            <w:r/>
            <w:r>
              <w:t>177 (1.0)</w:t>
            </w:r>
          </w:p>
        </w:tc>
      </w:tr>
      <w:tr>
        <w:tc>
          <w:tcPr>
            <w:tcW w:type="dxa" w:w="4320"/>
          </w:tcPr>
          <w:p>
            <w:r/>
            <w:r>
              <w:t>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99.8</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(0.724 vs 0.722) but slightly lower on AUPRC. The full logistic model reached AUPRC 0.301, and the age/sex/BMI baseline 0.234, indicating that the additional predictors contribute meaningfully beyond basic demographics while the absolute gain remains moderate.</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0.234 (0.207–0.268)</w:t>
            </w:r>
          </w:p>
        </w:tc>
        <w:tc>
          <w:tcPr>
            <w:tcW w:type="dxa" w:w="1080"/>
          </w:tcPr>
          <w:p>
            <w:r/>
            <w:r>
              <w:t>0.626 (0.597–0.653)</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(0.268–0.340)</w:t>
            </w:r>
          </w:p>
        </w:tc>
        <w:tc>
          <w:tcPr>
            <w:tcW w:type="dxa" w:w="1080"/>
          </w:tcPr>
          <w:p>
            <w:r/>
            <w:r>
              <w:t>0.707 (0.682–0.729)</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0.337 (0.301–0.375)</w:t>
            </w:r>
          </w:p>
        </w:tc>
        <w:tc>
          <w:tcPr>
            <w:tcW w:type="dxa" w:w="1080"/>
          </w:tcPr>
          <w:p>
            <w:r/>
            <w:r>
              <w:t>0.724 (0.699–0.745)</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0.240</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0.725 (0.693–0.757)</w:t>
            </w:r>
          </w:p>
        </w:tc>
        <w:tc>
          <w:tcPr>
            <w:tcW w:type="dxa" w:w="1080"/>
          </w:tcPr>
          <w:p>
            <w:r/>
            <w:r>
              <w:t>0.227</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0.337 (0.290–0.392)</w:t>
            </w:r>
          </w:p>
        </w:tc>
        <w:tc>
          <w:tcPr>
            <w:tcW w:type="dxa" w:w="1080"/>
          </w:tcPr>
          <w:p>
            <w:r/>
            <w:r>
              <w:t>0.732 (0.703–0.761)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out-of-fold isotonic recalibration reduced the Brier score from 0.191 to 0.119. The calibrated calibration slope was 0.909 and the intercept 0.008, indicating predictions close to ideal on the log-odds scale with only mild over-fitting. On the temporal split, the Brier score improved from 0.194 to 0.122 with slope 0.934 and intercept 0.006.</w:t>
      </w:r>
    </w:p>
    <w:p>
      <w:r>
        <w:t>In decision curve analysis, net benefit for the calibrated model was positive across threshold probabilities up to 0.58 on the patient-level split and up to 0.45 on the temporal split. At a threshold of 0.15, close to the outcome prevalence, net benefit was 0.050 and 0.058 respectively; at a threshold of 0.10 it was 0.079 and 0.085.</w:t>
      </w:r>
    </w:p>
    <w:p>
      <w:pPr>
        <w:pStyle w:val="Heading2"/>
      </w:pPr>
      <w:r>
        <w:t>Subgroup performance</w:t>
      </w:r>
    </w:p>
    <w:p>
      <w:r>
        <w:t>Performance varied systematically (Table 5). AUPRC was higher in women than men, declined monotonically with age, and was highest in underweight patients. These patterns were reproduced on the temporal split for sex and age. The underweight subgroup was an exception: AUPRC was 0.616 on the patient-level split but 0.382 on the temporal split, and with only 512 patients in that stratum the estimate should be regarded as unstable.</w:t>
      </w:r>
    </w:p>
    <w:p>
      <w:r>
        <w:rPr>
          <w:b/>
        </w:rPr>
        <w:t>Table 5. AUPRC of XGBoost by subgroup.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Subgroup</w:t>
            </w:r>
          </w:p>
        </w:tc>
        <w:tc>
          <w:tcPr>
            <w:tcW w:type="dxa" w:w="2160"/>
          </w:tcPr>
          <w:p>
            <w:r>
              <w:rPr>
                <w:b/>
              </w:rPr>
            </w:r>
            <w:r>
              <w:rPr>
                <w:b/>
              </w:rPr>
              <w:t>n</w:t>
            </w:r>
          </w:p>
        </w:tc>
        <w:tc>
          <w:tcPr>
            <w:tcW w:type="dxa" w:w="2160"/>
          </w:tcPr>
          <w:p>
            <w:r>
              <w:rPr>
                <w:b/>
              </w:rPr>
            </w:r>
            <w:r>
              <w:rPr>
                <w:b/>
              </w:rPr>
              <w:t>Patient split</w:t>
            </w:r>
          </w:p>
        </w:tc>
        <w:tc>
          <w:tcPr>
            <w:tcW w:type="dxa" w:w="2160"/>
          </w:tcPr>
          <w:p>
            <w:r>
              <w:rPr>
                <w:b/>
              </w:rPr>
            </w:r>
            <w:r>
              <w:rPr>
                <w:b/>
              </w:rPr>
              <w:t>Temporal split</w:t>
            </w:r>
          </w:p>
        </w:tc>
      </w:tr>
      <w:tr>
        <w:tc>
          <w:tcPr>
            <w:tcW w:type="dxa" w:w="2160"/>
          </w:tcPr>
          <w:p>
            <w:r/>
            <w:r>
              <w:t>Men</w:t>
            </w:r>
          </w:p>
        </w:tc>
        <w:tc>
          <w:tcPr>
            <w:tcW w:type="dxa" w:w="2160"/>
          </w:tcPr>
          <w:p>
            <w:r/>
            <w:r>
              <w:t>8,355</w:t>
            </w:r>
          </w:p>
        </w:tc>
        <w:tc>
          <w:tcPr>
            <w:tcW w:type="dxa" w:w="2160"/>
          </w:tcPr>
          <w:p>
            <w:r/>
            <w:r>
              <w:t>0.299</w:t>
            </w:r>
          </w:p>
        </w:tc>
        <w:tc>
          <w:tcPr>
            <w:tcW w:type="dxa" w:w="2160"/>
          </w:tcPr>
          <w:p>
            <w:r/>
            <w:r>
              <w:t>0.267</w:t>
            </w:r>
          </w:p>
        </w:tc>
      </w:tr>
      <w:tr>
        <w:tc>
          <w:tcPr>
            <w:tcW w:type="dxa" w:w="2160"/>
          </w:tcPr>
          <w:p>
            <w:r/>
            <w:r>
              <w:t>Women</w:t>
            </w:r>
          </w:p>
        </w:tc>
        <w:tc>
          <w:tcPr>
            <w:tcW w:type="dxa" w:w="2160"/>
          </w:tcPr>
          <w:p>
            <w:r/>
            <w:r>
              <w:t>8,502</w:t>
            </w:r>
          </w:p>
        </w:tc>
        <w:tc>
          <w:tcPr>
            <w:tcW w:type="dxa" w:w="2160"/>
          </w:tcPr>
          <w:p>
            <w:r/>
            <w:r>
              <w:t>0.357</w:t>
            </w:r>
          </w:p>
        </w:tc>
        <w:tc>
          <w:tcPr>
            <w:tcW w:type="dxa" w:w="2160"/>
          </w:tcPr>
          <w:p>
            <w:r/>
            <w:r>
              <w:t>0.370</w:t>
            </w:r>
          </w:p>
        </w:tc>
      </w:tr>
      <w:tr>
        <w:tc>
          <w:tcPr>
            <w:tcW w:type="dxa" w:w="2160"/>
          </w:tcPr>
          <w:p>
            <w:r/>
            <w:r>
              <w:t>Age &lt; 50 years</w:t>
            </w:r>
          </w:p>
        </w:tc>
        <w:tc>
          <w:tcPr>
            <w:tcW w:type="dxa" w:w="2160"/>
          </w:tcPr>
          <w:p>
            <w:r/>
            <w:r>
              <w:t>6,915</w:t>
            </w:r>
          </w:p>
        </w:tc>
        <w:tc>
          <w:tcPr>
            <w:tcW w:type="dxa" w:w="2160"/>
          </w:tcPr>
          <w:p>
            <w:r/>
            <w:r>
              <w:t>0.380</w:t>
            </w:r>
          </w:p>
        </w:tc>
        <w:tc>
          <w:tcPr>
            <w:tcW w:type="dxa" w:w="2160"/>
          </w:tcPr>
          <w:p>
            <w:r/>
            <w:r>
              <w:t>0.377</w:t>
            </w:r>
          </w:p>
        </w:tc>
      </w:tr>
      <w:tr>
        <w:tc>
          <w:tcPr>
            <w:tcW w:type="dxa" w:w="2160"/>
          </w:tcPr>
          <w:p>
            <w:r/>
            <w:r>
              <w:t>Age 50–64 years</w:t>
            </w:r>
          </w:p>
        </w:tc>
        <w:tc>
          <w:tcPr>
            <w:tcW w:type="dxa" w:w="2160"/>
          </w:tcPr>
          <w:p>
            <w:r/>
            <w:r>
              <w:t>5,366</w:t>
            </w:r>
          </w:p>
        </w:tc>
        <w:tc>
          <w:tcPr>
            <w:tcW w:type="dxa" w:w="2160"/>
          </w:tcPr>
          <w:p>
            <w:r/>
            <w:r>
              <w:t>0.324</w:t>
            </w:r>
          </w:p>
        </w:tc>
        <w:tc>
          <w:tcPr>
            <w:tcW w:type="dxa" w:w="2160"/>
          </w:tcPr>
          <w:p>
            <w:r/>
            <w:r>
              <w:t>0.305</w:t>
            </w:r>
          </w:p>
        </w:tc>
      </w:tr>
      <w:tr>
        <w:tc>
          <w:tcPr>
            <w:tcW w:type="dxa" w:w="2160"/>
          </w:tcPr>
          <w:p>
            <w:r/>
            <w:r>
              <w:t>Age ≥ 65 years</w:t>
            </w:r>
          </w:p>
        </w:tc>
        <w:tc>
          <w:tcPr>
            <w:tcW w:type="dxa" w:w="2160"/>
          </w:tcPr>
          <w:p>
            <w:r/>
            <w:r>
              <w:t>4,580</w:t>
            </w:r>
          </w:p>
        </w:tc>
        <w:tc>
          <w:tcPr>
            <w:tcW w:type="dxa" w:w="2160"/>
          </w:tcPr>
          <w:p>
            <w:r/>
            <w:r>
              <w:t>0.186</w:t>
            </w:r>
          </w:p>
        </w:tc>
        <w:tc>
          <w:tcPr>
            <w:tcW w:type="dxa" w:w="2160"/>
          </w:tcPr>
          <w:p>
            <w:r/>
            <w:r>
              <w:t>0.194</w:t>
            </w:r>
          </w:p>
        </w:tc>
      </w:tr>
      <w:tr>
        <w:tc>
          <w:tcPr>
            <w:tcW w:type="dxa" w:w="2160"/>
          </w:tcPr>
          <w:p>
            <w:r/>
            <w:r>
              <w:t>BMI &lt; 18.5 kg/m²</w:t>
            </w:r>
          </w:p>
        </w:tc>
        <w:tc>
          <w:tcPr>
            <w:tcW w:type="dxa" w:w="2160"/>
          </w:tcPr>
          <w:p>
            <w:r/>
            <w:r>
              <w:t>512</w:t>
            </w:r>
          </w:p>
        </w:tc>
        <w:tc>
          <w:tcPr>
            <w:tcW w:type="dxa" w:w="2160"/>
          </w:tcPr>
          <w:p>
            <w:r/>
            <w:r>
              <w:t>0.616</w:t>
            </w:r>
          </w:p>
        </w:tc>
        <w:tc>
          <w:tcPr>
            <w:tcW w:type="dxa" w:w="2160"/>
          </w:tcPr>
          <w:p>
            <w:r/>
            <w:r>
              <w:t>0.382</w:t>
            </w:r>
          </w:p>
        </w:tc>
      </w:tr>
      <w:tr>
        <w:tc>
          <w:tcPr>
            <w:tcW w:type="dxa" w:w="2160"/>
          </w:tcPr>
          <w:p>
            <w:r/>
            <w:r>
              <w:t>BMI 18.5–24.9 kg/m²</w:t>
            </w:r>
          </w:p>
        </w:tc>
        <w:tc>
          <w:tcPr>
            <w:tcW w:type="dxa" w:w="2160"/>
          </w:tcPr>
          <w:p>
            <w:r/>
            <w:r>
              <w:t>—</w:t>
            </w:r>
          </w:p>
        </w:tc>
        <w:tc>
          <w:tcPr>
            <w:tcW w:type="dxa" w:w="2160"/>
          </w:tcPr>
          <w:p>
            <w:r/>
            <w:r>
              <w:t>0.392</w:t>
            </w:r>
          </w:p>
        </w:tc>
        <w:tc>
          <w:tcPr>
            <w:tcW w:type="dxa" w:w="2160"/>
          </w:tcPr>
          <w:p>
            <w:r/>
            <w:r>
              <w:t>0.354</w:t>
            </w:r>
          </w:p>
        </w:tc>
      </w:tr>
      <w:tr>
        <w:tc>
          <w:tcPr>
            <w:tcW w:type="dxa" w:w="2160"/>
          </w:tcPr>
          <w:p>
            <w:r/>
            <w:r>
              <w:t>BMI 25–29.9 kg/m²</w:t>
            </w:r>
          </w:p>
        </w:tc>
        <w:tc>
          <w:tcPr>
            <w:tcW w:type="dxa" w:w="2160"/>
          </w:tcPr>
          <w:p>
            <w:r/>
            <w:r>
              <w:t>—</w:t>
            </w:r>
          </w:p>
        </w:tc>
        <w:tc>
          <w:tcPr>
            <w:tcW w:type="dxa" w:w="2160"/>
          </w:tcPr>
          <w:p>
            <w:r/>
            <w:r>
              <w:t>0.286</w:t>
            </w:r>
          </w:p>
        </w:tc>
        <w:tc>
          <w:tcPr>
            <w:tcW w:type="dxa" w:w="2160"/>
          </w:tcPr>
          <w:p>
            <w:r/>
            <w:r>
              <w:t>0.306</w:t>
            </w:r>
          </w:p>
        </w:tc>
      </w:tr>
      <w:tr>
        <w:tc>
          <w:tcPr>
            <w:tcW w:type="dxa" w:w="2160"/>
          </w:tcPr>
          <w:p>
            <w:r/>
            <w:r>
              <w:t>BMI ≥ 30 kg/m²</w:t>
            </w:r>
          </w:p>
        </w:tc>
        <w:tc>
          <w:tcPr>
            <w:tcW w:type="dxa" w:w="2160"/>
          </w:tcPr>
          <w:p>
            <w:r/>
            <w:r>
              <w:t>—</w:t>
            </w:r>
          </w:p>
        </w:tc>
        <w:tc>
          <w:tcPr>
            <w:tcW w:type="dxa" w:w="2160"/>
          </w:tcPr>
          <w:p>
            <w:r/>
            <w:r>
              <w:t>0.257</w:t>
            </w:r>
          </w:p>
        </w:tc>
        <w:tc>
          <w:tcPr>
            <w:tcW w:type="dxa" w:w="2160"/>
          </w:tcPr>
          <w:p>
            <w:r/>
            <w:r>
              <w:t>0.330</w:t>
            </w:r>
          </w:p>
        </w:tc>
      </w:tr>
    </w:tbl>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 times better than chance on the precision–recall scale — modest, but clearly not null — and the predictions were clinically usable in a decision-analytic sense across threshold probabilities up to about 0.20.</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Performance declined sharply with age, which is the opposite of what a purely risk-factor-based model would predict, and was higher in women. Both patterns are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Our results stand in marked contrast to the near-perfect discrimination recently reported on the same public resource [4]. We do not question the authors' analysis directly, since the details necessary to reproduce it are not available to us. We note only two facts that any reader can weigh. First, in the component analysed here, non-invasive arterial pressure is recorded in fewer than one in five case-minutes and almost all recorded segments are isolated single minutes, so the physiological trajectory available to any model is extremely coarse. Second, an independent pre-registered external evaluation on the same resource reported an AUROC of 0.696 for a deliberately simple three-variable additive model [13], and a cross-centre evaluation attributed inflated performance to selection effects rather than to genuine generalisability [5]. Our AUROC of 0.722 is consistent in magnitude with the former. Performance of the order of 0.97 would require near-separation of the classes, which in our judgement is more plausibly explained by the label window overlapping the feature window, or by retaining as predictable events those cases already below threshold at the prediction origin, than by physiological signal. We regard this as a general methodological hazard in perioperative prediction rather than a criticism specific to one report, and we note that our own estimate carries the same absence of external validation that we identify as a limitation elsewhere [6].</w:t>
      </w:r>
    </w:p>
    <w:p>
      <w:pPr>
        <w:pStyle w:val="Heading2"/>
      </w:pPr>
      <w:r>
        <w:t>Implications</w:t>
      </w:r>
    </w:p>
    <w:p>
      <w:r>
        <w:t>Three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w:t>
      </w:r>
    </w:p>
    <w:p>
      <w:pPr>
        <w:pStyle w:val="Heading2"/>
      </w:pPr>
      <w:r>
        <w:t>Limitations</w:t>
      </w:r>
    </w:p>
    <w:p>
      <w:r>
        <w:t xml:space="preserve">1. </w:t>
      </w:r>
      <w:r>
        <w:rPr>
          <w:b/>
        </w:rPr>
        <w:t>No external validation.</w:t>
      </w:r>
      <w:r>
        <w:t xml:space="preserve"> This is a single-centre development with internal validation only (TRIPOD type 2a). Discrimination and, in particular, calibration may not transfer.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w:t>
      </w:r>
      <w:r>
        <w:t xml:space="preserve"> In 18.0% of cases the anchor was Surgery start rather than intubation, because no intubation event was recorded. The direction of any resulting bias is uncertain.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w:t>
      </w:r>
      <w:r>
        <w:t xml:space="preserve"> 1,496 cases (8.9%) had fewer than 10 post-anchor measurements and were classified as negative by construction; and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external validation,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AKI, acute kidney injury; AUROC, area under the receiver operating characteristic curve; AUPRC, area under the precision–recall curve; BMI, body mass index; DUA, data use agreement; IOH, intraoperative hypotension;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w:t>
      </w:r>
    </w:p>
    <w:p>
      <w:pPr>
        <w:pStyle w:val="Heading1"/>
      </w:pPr>
      <w:r>
        <w:t>Declarations</w:t>
      </w:r>
    </w:p>
    <w:p>
      <w:r>
        <w:rPr>
          <w:b/>
        </w:rPr>
        <w:t>Ethics approval and consent to participate.</w:t>
      </w:r>
      <w:r>
        <w:t xml:space="preserve"> This study analysed a pre-existing, de-identified database (MOVER, University of California Irvine) obtained under a signed data use agreement. No patients were recruited, no intervention was performed, and no identifiable information was accessed. In accordance with the policy of the Institutional Review Board of The Second Affiliated Hospital of Fujian University of Traditional Chinese Medicine, research using exclusively pre-existing de-identified data does not require prospective ethical approval; a formal determination was therefore not sought, and no approval number is reported.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 (release v1.0.0),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 xml:space="preserve">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w:t>
      </w:r>
      <w:r>
        <w:rPr>
          <w:i/>
        </w:rPr>
        <w:t>(verified 2026-10-19)</w:t>
      </w:r>
      <w:r>
        <w:t xml:space="preserve">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w:t>
      </w:r>
      <w:r>
        <w:rPr>
          <w:i/>
        </w:rPr>
        <w:t>(verified 2026-10-20; PMID 32065827)</w:t>
      </w:r>
      <w:r>
        <w:t xml:space="preserve"> 3. Maheshwari K, Shimada T, Yang D, Khanna S, Cywinski JB, Irefin SA, et al. Hypotension prediction index for prevention of hypotension during moderate- to high-risk noncardiac surgery. Anesthesiology. 2020;133(6):1214–1222. doi:10.1097/ALN.0000000000003557. </w:t>
      </w:r>
      <w:r>
        <w:rPr>
          <w:i/>
        </w:rPr>
        <w:t>(verified 2026-10-20)</w:t>
      </w:r>
      <w:r>
        <w:t xml:space="preserve"> 4. Alrantisi KMM. Predicting intraoperative hypotension using machine learning: a comprehensive analysis of the MOVER dataset. Preprints.org. 2026. doi:10.20944/preprints202603.1373.v1. </w:t>
      </w:r>
      <w:r>
        <w:rPr>
          <w:i/>
        </w:rPr>
        <w:t>(unrefereed single-author preprint by Alrantisi KMM; posted 17 Mar 2026; verified 2026-10-20)</w:t>
      </w:r>
      <w:r>
        <w:t xml:space="preserve"> 5. Chaari N, Winski G, Hallbäck M, Lundström N, Björne H, Jacobsson M. Towards reliable prediction of intraoperative hypotension: a cross-center evaluation of deep learning-based and MAP-derived methods. J Clin Monit Comput. 2026;40(1):43–57. doi:10.1007/s10877-025-01357-0. </w:t>
      </w:r>
      <w:r>
        <w:rPr>
          <w:i/>
        </w:rPr>
        <w:t>(verified 2026-10-19)</w:t>
      </w:r>
      <w:r>
        <w:t xml:space="preserve"> 6. Hernández Rincón EH, Salcedo Garrido G, Tovar Acosta N, Ramírez Urueña JA. Artificial intelligence for predicting perioperative anaesthetic complications and supporting clinical decision-making: a scoping review. J Clin Monit Comput. 2026. doi:10.1007/s10877-026-01449-5. </w:t>
      </w:r>
      <w:r>
        <w:rPr>
          <w:i/>
        </w:rPr>
        <w:t>(verified 2026-10-19)</w:t>
      </w:r>
      <w:r>
        <w:t xml:space="preserve"> 7. Collins GS, Moons KGM, Dhiman P, et al. TRIPOD+AI statement: updated guidance for reporting clinical prediction models that use regression or machine learning methods. BMJ. 2024;385:e078378. doi:10.1136/bmj-2023-078378. </w:t>
      </w:r>
      <w:r>
        <w:rPr>
          <w:i/>
        </w:rPr>
        <w:t>(verified 2026-10-20)</w:t>
      </w:r>
      <w:r>
        <w:t xml:space="preserve"> 8. MOVER (Medical Informatics Operating Room Vitals and Events Repository). UCI Machine Learning Repository. doi:10.24432/C5VS5G. </w:t>
      </w:r>
      <w:r>
        <w:rPr>
          <w:i/>
        </w:rPr>
        <w:t>(verified 2026-10-19)</w:t>
      </w:r>
      <w:r>
        <w:t xml:space="preserve"> 9. This manuscript, Table 2 (all 14 definitions computed for every case; see Additional file 1). 10. Pedregosa F, Varoquaux G, Gramfort A, et al. Scikit-learn: machine learning in Python. J Mach Learn Res. 2011;12:2825–2830. </w:t>
      </w:r>
      <w:r>
        <w:rPr>
          <w:i/>
        </w:rPr>
        <w:t>(verified 2026-10-20; JMLR articles carry no DOI)</w:t>
      </w:r>
      <w:r>
        <w:t xml:space="preserve"> 11. Chen T, Guestrin C. XGBoost: a scalable tree boosting system. In: Proceedings of the 22nd ACM SIGKDD International Conference on Knowledge Discovery and Data Mining. 2016:785–794. doi:10.1145/2939672.2939785. </w:t>
      </w:r>
      <w:r>
        <w:rPr>
          <w:i/>
        </w:rPr>
        <w:t>(verified 2026-10-20)</w:t>
      </w:r>
      <w:r>
        <w:t xml:space="preserve"> 12. Ke G, Meng Q, Finley T, et al. LightGBM: a highly efficient gradient boosting decision tree. In: Advances in Neural Information Processing Systems 30. 2017:3146–3154. </w:t>
      </w:r>
      <w:r>
        <w:rPr>
          <w:i/>
        </w:rPr>
        <w:t>(verified 2026-10-20; NeurIPS proceedings carry no DOI)</w:t>
      </w:r>
      <w:r>
        <w:t xml:space="preserve"> 13. Oyarzun R. The dynamics of arterial pressure itself predict intraoperative hypotension beyond its current value: an interpretable additive model validated in 3,069 external patients under a selection-bias-resistant protocol. medRxiv. 2026. doi:10.1101/2026.08.26.26361468. </w:t>
      </w:r>
      <w:r>
        <w:rPr>
          <w:i/>
        </w:rPr>
        <w:t>(unrefereed preprint; verified 2026-10-19)</w:t>
      </w:r>
      <w:r>
        <w:t xml:space="preserve"> 14. Chiu C, Braehler MR, Donovan AL, Butte AJ, Pirracchio R, Bishara AM. Development of a machine learning-derived model to predict unplanned ICU admissions after major non-cardiac surgery. BMC Anesthesiol. 2025;25:351. doi:10.1186/s12871-025-03195-8. </w:t>
      </w:r>
      <w:r>
        <w:rPr>
          <w:i/>
        </w:rPr>
        <w:t>(verified 2026-10-20)</w:t>
      </w:r>
      <w:r>
        <w:t xml:space="preserve"> 15. Cheun H, Ahn JH, Park JW, et al. Development and external validation of a machine learning model for predicting severe immediate postoperative complications in adults undergoing cardiac surgery. BMC Anesthesiol. 2026;26:334. doi:10.1186/s12871-026-03841-9. </w:t>
      </w:r>
      <w:r>
        <w:rPr>
          <w:i/>
        </w:rPr>
        <w:t>(verified 2026-10-20)</w:t>
      </w:r>
      <w:r>
        <w:t xml:space="preserve"> 16. Walsh M, Devereaux PJ, Garg AX, et al. Relationship between intraoperative mean arterial pressure and clinical outcomes after noncardiac surgery: toward an empirical definition of hypotension. Anesthesiology. 2013;119(3):507–515. </w:t>
      </w:r>
      <w:r>
        <w:rPr>
          <w:i/>
        </w:rPr>
        <w:t>(verified 2026-10-19)</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operating room window shorter than 60 minutes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pPr>
        <w:pStyle w:val="Heading1"/>
      </w:pPr>
      <w:r>
        <w:t>Additional files</w:t>
      </w:r>
    </w:p>
    <w:p>
      <w:r>
        <w:rPr>
          <w:b/>
        </w:rPr>
        <w:t>Additional file 1.</w:t>
      </w:r>
      <w:r>
        <w:t xml:space="preserve"> Audit trail: every number reported in this manuscript, its producing result file, and the command that reproduces it (CSV).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