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cumulative intraoperative hypotension burden from data available at anaesthesia induction: development and internal validation in MOVER/SIS with an external transportability check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Machine-learning performance estimates vary widely. We developed and internally validated a model predicting cumulative hypotension burden over the remainder of surgery from data available at the anaesthesia induction anchor, and examined its transportability in an external cohort.</w:t>
      </w:r>
    </w:p>
    <w:p>
      <w:r>
        <w:rPr>
          <w:b/>
        </w:rPr>
        <w:t>Methods:</w:t>
      </w:r>
      <w:r>
        <w:t xml:space="preserve"> Retrospective cohort from MOVER/SIS. Of 19,114 screened records, 16,861 adult cases had a valid anchor (first intubation event, 82.0%; otherwise surgery start, 18.0%).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as a transportability check. AUPRC was the primary metric; AUROC and Brier score were secondary; 95% confidence intervals came from 1,000 bootstrap resamples;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0.233 (baseline), 0.301 (full logistic) and 0.338 (LightGBM); on the temporal split it achieved 0.339 (0.291–0.395) and 0.733 (0.703–0.762). Isotonic recalibration improved the Brier score from 0.191 to 0.119. Subgroup AUPRC tracked stratum prevalence; pre-anchor mean MAP was the dominant predictor. Externally (VitalDB, prevalence 5.73%), the unchanged model retained discrimination (AUROC 0.744, 95% CI 0.705–0.778; AUPRC 0.158, 0.126–0.202) but probabilities were uncalibrated; the 53-feature internal AUROC was 0.698–0.710, confirming transportability rather than like-for-like validation.</w:t>
      </w:r>
    </w:p>
    <w:p>
      <w:r>
        <w:rPr>
          <w:b/>
        </w:rPr>
        <w:t>Conclusions:</w:t>
      </w:r>
      <w:r>
        <w:t xml:space="preserve"> An anchor-based model using routinely recorded pre-induction data achieved modest but non-null discrimination for cumulative hypotension burden and was well calibrated. An external transportability check in VitalDB supported transfer of ranking but not of absolute probabilities, requiring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vital-sign rows (about one in five)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internally validate a model for the </w:t>
      </w:r>
      <w:r>
        <w:rPr>
          <w:i/>
        </w:rPr>
        <w:t>cumulative burden</w:t>
      </w:r>
      <w:r>
        <w:t xml:space="preserve"> of hypotension over the remainder of surgery, using only information available at the anaesthesia induction anchor, to examine its transportability in an independent external cohort,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fewer than 60 vital-sign observations inside the OR window;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3,379,173 OR-window vital-sign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 xml:space="preserve">The primary outcome (D1) adopts the absolute MAP threshold (&lt;65 mmHg) of Salmasi et al. [1] but operationalises burden as the proportion of </w:t>
      </w:r>
      <w:r>
        <w:rPr>
          <w:i/>
        </w:rPr>
        <w:t>recorded</w:t>
      </w:r>
      <w:r>
        <w:t xml:space="preserve"> post-anchor MAP readings below threshold: at least 10 readings, of which at least 30% below 65 mmHg. Because non-invasive pressure is recorded intermittently rather than continuously, this is a proportion of recorded readings, not a cumulative time below threshold; the number of low readings required for a positive label therefore varies with recording density (3 to 77 readings across cases; median 9). The ≥10-measurement and ≥30%-below rule is our operational choice rather than a literal transcription of that report. Cases with fewer than 10 post-anchor measurements were classified as negative by construction; this applied to 1,496 cases (8.9%) — 1,332 with 1–9 readings and 164 with no post-anchor MAP recording at all — because the definition deliberately requires a minimum amount of evidence before a burden can be asserted. A sensitivity analysis restricted to the 15,365 evaluable cases is reported in the Results.</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 One boundary detail deserves statement: the physiological windows are closed at the anchor ([anchor−15, anchor]), so a MAP reading recorded exactly at the anchor minute belongs to both the feature window and the outcome window ([anchor, OR end]). Sensitivity analyses that exclude the anchor minute from the feature window, and separately from the outcome window, are reported in the Results; neither changed the conclusions.</w:t>
      </w:r>
    </w:p>
    <w:p>
      <w:r>
        <w:t>Surgical group was assigned from the free-text procedure description by keyword mapping into 12 surgical categories plus a no-surgery category,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the imputer was fitted within each training fold only, so no test-set information entered preprocessing.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 Hyperparameters were fixed a priori on clinical-iterative grounds rather than by external tuning; with 335 logistic parameters against 2,097 training events (events per variable ≈6.3), the full logistic model is expected to be over-fitted and is reported as a comparator rather than a deployable model.</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by the same rule over [opstart, opend]; because VitalDB samples arterial pressure far more densely than the intermittent non-invasive readings in MOVER, the same proportion-based rule implies a much larger absolute hypotensive exposure for a positive external label (at the median recording density, about 1,300 hypotensive samples, or some 44 cumulative minutes below 65 mmHg, versus 9 readings in MOVER), so the external endpoint is not equivalent to the development endpoint and part of the prevalence gap between cohorts is definitional rather than case-mix; a sensitivity analysis on a common one-minute-grid, absolute-time definition is reported in the Results. Of 6,388 VitalDB cases with recorded vital signs, 3,735 had an arterial MAP track (Solar8000/ART_MBP or EV1000/ART_MBP) together with valid operation timing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 a residual source of transportability error. For transparency we note that the transported model was fitted on the full MOVER cohort (all 16,861 cases), whereas the internal comparators in Table 7 were fitted on the 80% training split of the patient-level split; the external model is therefore not disadvantaged by a smaller training set, but neither is it directly comparable to the held-out internal estimates.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on both the probability scale (linear-probability model) and the log-odds scale (logistic recalibration).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[9], XGBoost 3.4.1 [10] and LightGBM 4.7.0 [11]. The random seed was fixed at 12,345. Every headline number reported in this manuscript is generated from a result file by the analysis pipeline and is traceable through an audit trail (Additional file 1) that records, for each quantity, its value, the producing artefact and the command that reproduces it; a small number of descriptive statistics (for example the interquartile ranges of recording density) are produced by the same scripts and are listed in the trail with their source artefact but without a dedicated reproduce command.</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(82.0)</w:t>
            </w:r>
          </w:p>
        </w:tc>
      </w:tr>
      <w:tr>
        <w:tc>
          <w:tcPr>
            <w:tcW w:type="dxa" w:w="4320"/>
          </w:tcPr>
          <w:p>
            <w:r/>
            <w:r>
              <w:t>Anchor = Surgery start (proxy) — n (%)</w:t>
            </w:r>
          </w:p>
        </w:tc>
        <w:tc>
          <w:tcPr>
            <w:tcW w:type="dxa" w:w="4320"/>
          </w:tcPr>
          <w:p>
            <w:r/>
            <w:r>
              <w:t>3,027 (18.0)</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(0.721 vs 0.722) but slightly lower on AUPRC. The full logistic model reached AUPRC 0.301, and the age/sex/BMI baseline 0.233,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0.233 (0.205–0.267)</w:t>
            </w:r>
          </w:p>
        </w:tc>
        <w:tc>
          <w:tcPr>
            <w:tcW w:type="dxa" w:w="1080"/>
          </w:tcPr>
          <w:p>
            <w:r/>
            <w:r>
              <w:t>0.624 (0.596–0.650)</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(0.269–0.339)</w:t>
            </w:r>
          </w:p>
        </w:tc>
        <w:tc>
          <w:tcPr>
            <w:tcW w:type="dxa" w:w="1080"/>
          </w:tcPr>
          <w:p>
            <w:r/>
            <w:r>
              <w:t>0.706 (0.681–0.728)</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0.338 (0.299–0.377)</w:t>
            </w:r>
          </w:p>
        </w:tc>
        <w:tc>
          <w:tcPr>
            <w:tcW w:type="dxa" w:w="1080"/>
          </w:tcPr>
          <w:p>
            <w:r/>
            <w:r>
              <w:t>0.721 (0.697–0.743)</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0.239</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0.726 (0.694–0.758)</w:t>
            </w:r>
          </w:p>
        </w:tc>
        <w:tc>
          <w:tcPr>
            <w:tcW w:type="dxa" w:w="1080"/>
          </w:tcPr>
          <w:p>
            <w:r/>
            <w:r>
              <w:t>0.226</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0.336 (0.289–0.390)</w:t>
            </w:r>
          </w:p>
        </w:tc>
        <w:tc>
          <w:tcPr>
            <w:tcW w:type="dxa" w:w="1080"/>
          </w:tcPr>
          <w:p>
            <w:r/>
            <w:r>
              <w:t>0.731 (0.702–0.761)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on the probability scale (linear-probability model); the logit-scale recalibration slope and intercept are reported alongside. On the temporal split the Brier score improved from 0.194 to 0.122, with slope 0.934 and intercept 0.006 on the probability scale. In both cases the probability-scale slope below 1 indicates that the uncalibrated predictions were slightly over-dispersed, which isotonic recalibration corrected.</w:t>
      </w:r>
    </w:p>
    <w:p>
      <w:r>
        <w:t>In decision curve analysis, the calibrated model's net benefit exceeded that of the "treat none" strategy from the lowest evaluated threshold up to 0.58 on the patient-level split and up to 0.45 on the temporal split; on the temporal split it then turned negative between 0.46 and 0.65 and returned briefly to positive only between 0.66 and 0.73, where the net benefit was nonetheless negligible (≤0.0006), as it was at the top of the patient-level range (0.0001 at 0.58).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(0.078 and 0.085 at threshold 0.10; 0.051 and 0.058 at threshold 0.15, close to the outcome prevalence), so the clinical usefulness demonstrated by the curve is modest. In a benchmark against a logistic model using the pre-anchor mean MAP alone, the full model's incremental net benefit was 0.013 at both thresholds 0.10 and 0.15 (Figure 4).</w:t>
      </w:r>
    </w:p>
    <w:p>
      <w:pPr>
        <w:pStyle w:val="Heading2"/>
      </w:pPr>
      <w:r>
        <w:t>Subgroup performance</w:t>
      </w:r>
    </w:p>
    <w:p>
      <w:r>
        <w:t>Raw subgroup AUPRC varied across strata (Table 5): it was higher in women than men, declined with age, and was highest in underweight patients. However, subgroup AUPRC tracks stratum outcome prevalence closely: across the nine strata the rank correlation between full-cohort stratum prevalence and patient-level subgroup AUPRC was strong (Spearman ρ = 0.88, p = 0.002). Normalising AUPRC by stratum prevalence (the no-skill AUPRC for that stratum) compressed the age gradient to ratios of 1.89, 2.28 and 1.82 across increasing age bands and reversed the sex ordering (men 2.17 vs women 2.07); on the temporal split the normalised ratios were similarly uniform (1.88–2.14 by age band; women 2.14 vs men 1.93). The raw subgroup differences therefore largely reflect stratum base rates rather than differential model skill, and no subgroup-specific claim is made. The underweight stratum is the clearest exception and is explicitly unstable: its raw AUPRC of 0.616 rests on 10 outcome events among 98 patient-level test-set cases (512 cases, 95 events in the full cohort), and the corresponding ratio of 3.32 is inflated by the same small numbers; on the temporal split the AUPRC fell to 0.382.</w:t>
      </w:r>
    </w:p>
    <w:p>
      <w:r>
        <w:rPr>
          <w:b/>
        </w:rPr>
        <w:t>Table 5. AUPRC of XGBoost by subgroup (held-out test set), with stratum prevalence and the AUPRC-to-prevalence ratio (lift over the no-skill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Subgroup</w:t>
            </w:r>
          </w:p>
        </w:tc>
        <w:tc>
          <w:tcPr>
            <w:tcW w:type="dxa" w:w="1234"/>
          </w:tcPr>
          <w:p>
            <w:r>
              <w:rPr>
                <w:b/>
              </w:rPr>
            </w:r>
            <w:r>
              <w:rPr>
                <w:b/>
              </w:rPr>
              <w:t>n (test)</w:t>
            </w:r>
          </w:p>
        </w:tc>
        <w:tc>
          <w:tcPr>
            <w:tcW w:type="dxa" w:w="1234"/>
          </w:tcPr>
          <w:p>
            <w:r>
              <w:rPr>
                <w:b/>
              </w:rPr>
            </w:r>
            <w:r>
              <w:rPr>
                <w:b/>
              </w:rPr>
              <w:t>Stratum prevalence, % (full cohort)</w:t>
            </w:r>
          </w:p>
        </w:tc>
        <w:tc>
          <w:tcPr>
            <w:tcW w:type="dxa" w:w="1234"/>
          </w:tcPr>
          <w:p>
            <w:r>
              <w:rPr>
                <w:b/>
              </w:rPr>
            </w:r>
            <w:r>
              <w:rPr>
                <w:b/>
              </w:rPr>
              <w:t>Patient AUPRC</w:t>
            </w:r>
          </w:p>
        </w:tc>
        <w:tc>
          <w:tcPr>
            <w:tcW w:type="dxa" w:w="1234"/>
          </w:tcPr>
          <w:p>
            <w:r>
              <w:rPr>
                <w:b/>
              </w:rPr>
            </w:r>
            <w:r>
              <w:rPr>
                <w:b/>
              </w:rPr>
              <w:t>AUPRC / prevalence</w:t>
            </w:r>
          </w:p>
        </w:tc>
        <w:tc>
          <w:tcPr>
            <w:tcW w:type="dxa" w:w="1234"/>
          </w:tcPr>
          <w:p>
            <w:r>
              <w:rPr>
                <w:b/>
              </w:rPr>
            </w:r>
            <w:r>
              <w:rPr>
                <w:b/>
              </w:rPr>
              <w:t>Temporal AUPRC</w:t>
            </w:r>
          </w:p>
        </w:tc>
        <w:tc>
          <w:tcPr>
            <w:tcW w:type="dxa" w:w="1234"/>
          </w:tcPr>
          <w:p>
            <w:r>
              <w:rPr>
                <w:b/>
              </w:rPr>
            </w:r>
            <w:r>
              <w:rPr>
                <w:b/>
              </w:rPr>
              <w:t>AUPRC / prevalence</w:t>
            </w:r>
          </w:p>
        </w:tc>
      </w:tr>
      <w:tr>
        <w:tc>
          <w:tcPr>
            <w:tcW w:type="dxa" w:w="1234"/>
          </w:tcPr>
          <w:p>
            <w:r/>
            <w:r>
              <w:t>Men</w:t>
            </w:r>
          </w:p>
        </w:tc>
        <w:tc>
          <w:tcPr>
            <w:tcW w:type="dxa" w:w="1234"/>
          </w:tcPr>
          <w:p>
            <w:r/>
            <w:r>
              <w:t>1,689</w:t>
            </w:r>
          </w:p>
        </w:tc>
        <w:tc>
          <w:tcPr>
            <w:tcW w:type="dxa" w:w="1234"/>
          </w:tcPr>
          <w:p>
            <w:r/>
            <w:r>
              <w:t>13.80</w:t>
            </w:r>
          </w:p>
        </w:tc>
        <w:tc>
          <w:tcPr>
            <w:tcW w:type="dxa" w:w="1234"/>
          </w:tcPr>
          <w:p>
            <w:r/>
            <w:r>
              <w:t>0.299</w:t>
            </w:r>
          </w:p>
        </w:tc>
        <w:tc>
          <w:tcPr>
            <w:tcW w:type="dxa" w:w="1234"/>
          </w:tcPr>
          <w:p>
            <w:r/>
            <w:r>
              <w:t>2.17</w:t>
            </w:r>
          </w:p>
        </w:tc>
        <w:tc>
          <w:tcPr>
            <w:tcW w:type="dxa" w:w="1234"/>
          </w:tcPr>
          <w:p>
            <w:r/>
            <w:r>
              <w:t>0.267</w:t>
            </w:r>
          </w:p>
        </w:tc>
        <w:tc>
          <w:tcPr>
            <w:tcW w:type="dxa" w:w="1234"/>
          </w:tcPr>
          <w:p>
            <w:r/>
            <w:r>
              <w:t>1.93</w:t>
            </w:r>
          </w:p>
        </w:tc>
      </w:tr>
      <w:tr>
        <w:tc>
          <w:tcPr>
            <w:tcW w:type="dxa" w:w="1234"/>
          </w:tcPr>
          <w:p>
            <w:r/>
            <w:r>
              <w:t>Women</w:t>
            </w:r>
          </w:p>
        </w:tc>
        <w:tc>
          <w:tcPr>
            <w:tcW w:type="dxa" w:w="1234"/>
          </w:tcPr>
          <w:p>
            <w:r/>
            <w:r>
              <w:t>1,684</w:t>
            </w:r>
          </w:p>
        </w:tc>
        <w:tc>
          <w:tcPr>
            <w:tcW w:type="dxa" w:w="1234"/>
          </w:tcPr>
          <w:p>
            <w:r/>
            <w:r>
              <w:t>17.27</w:t>
            </w:r>
          </w:p>
        </w:tc>
        <w:tc>
          <w:tcPr>
            <w:tcW w:type="dxa" w:w="1234"/>
          </w:tcPr>
          <w:p>
            <w:r/>
            <w:r>
              <w:t>0.357</w:t>
            </w:r>
          </w:p>
        </w:tc>
        <w:tc>
          <w:tcPr>
            <w:tcW w:type="dxa" w:w="1234"/>
          </w:tcPr>
          <w:p>
            <w:r/>
            <w:r>
              <w:t>2.07</w:t>
            </w:r>
          </w:p>
        </w:tc>
        <w:tc>
          <w:tcPr>
            <w:tcW w:type="dxa" w:w="1234"/>
          </w:tcPr>
          <w:p>
            <w:r/>
            <w:r>
              <w:t>0.370</w:t>
            </w:r>
          </w:p>
        </w:tc>
        <w:tc>
          <w:tcPr>
            <w:tcW w:type="dxa" w:w="1234"/>
          </w:tcPr>
          <w:p>
            <w:r/>
            <w:r>
              <w:t>2.14</w:t>
            </w:r>
          </w:p>
        </w:tc>
      </w:tr>
      <w:tr>
        <w:tc>
          <w:tcPr>
            <w:tcW w:type="dxa" w:w="1234"/>
          </w:tcPr>
          <w:p>
            <w:r/>
            <w:r>
              <w:t>Age &lt; 50 years</w:t>
            </w:r>
          </w:p>
        </w:tc>
        <w:tc>
          <w:tcPr>
            <w:tcW w:type="dxa" w:w="1234"/>
          </w:tcPr>
          <w:p>
            <w:r/>
            <w:r>
              <w:t>1,402</w:t>
            </w:r>
          </w:p>
        </w:tc>
        <w:tc>
          <w:tcPr>
            <w:tcW w:type="dxa" w:w="1234"/>
          </w:tcPr>
          <w:p>
            <w:r/>
            <w:r>
              <w:t>20.09</w:t>
            </w:r>
          </w:p>
        </w:tc>
        <w:tc>
          <w:tcPr>
            <w:tcW w:type="dxa" w:w="1234"/>
          </w:tcPr>
          <w:p>
            <w:r/>
            <w:r>
              <w:t>0.380</w:t>
            </w:r>
          </w:p>
        </w:tc>
        <w:tc>
          <w:tcPr>
            <w:tcW w:type="dxa" w:w="1234"/>
          </w:tcPr>
          <w:p>
            <w:r/>
            <w:r>
              <w:t>1.89</w:t>
            </w:r>
          </w:p>
        </w:tc>
        <w:tc>
          <w:tcPr>
            <w:tcW w:type="dxa" w:w="1234"/>
          </w:tcPr>
          <w:p>
            <w:r/>
            <w:r>
              <w:t>0.377</w:t>
            </w:r>
          </w:p>
        </w:tc>
        <w:tc>
          <w:tcPr>
            <w:tcW w:type="dxa" w:w="1234"/>
          </w:tcPr>
          <w:p>
            <w:r/>
            <w:r>
              <w:t>1.88</w:t>
            </w:r>
          </w:p>
        </w:tc>
      </w:tr>
      <w:tr>
        <w:tc>
          <w:tcPr>
            <w:tcW w:type="dxa" w:w="1234"/>
          </w:tcPr>
          <w:p>
            <w:r/>
            <w:r>
              <w:t>Age 50–64 years</w:t>
            </w:r>
          </w:p>
        </w:tc>
        <w:tc>
          <w:tcPr>
            <w:tcW w:type="dxa" w:w="1234"/>
          </w:tcPr>
          <w:p>
            <w:r/>
            <w:r>
              <w:t>1,044</w:t>
            </w:r>
          </w:p>
        </w:tc>
        <w:tc>
          <w:tcPr>
            <w:tcW w:type="dxa" w:w="1234"/>
          </w:tcPr>
          <w:p>
            <w:r/>
            <w:r>
              <w:t>14.26</w:t>
            </w:r>
          </w:p>
        </w:tc>
        <w:tc>
          <w:tcPr>
            <w:tcW w:type="dxa" w:w="1234"/>
          </w:tcPr>
          <w:p>
            <w:r/>
            <w:r>
              <w:t>0.324</w:t>
            </w:r>
          </w:p>
        </w:tc>
        <w:tc>
          <w:tcPr>
            <w:tcW w:type="dxa" w:w="1234"/>
          </w:tcPr>
          <w:p>
            <w:r/>
            <w:r>
              <w:t>2.28</w:t>
            </w:r>
          </w:p>
        </w:tc>
        <w:tc>
          <w:tcPr>
            <w:tcW w:type="dxa" w:w="1234"/>
          </w:tcPr>
          <w:p>
            <w:r/>
            <w:r>
              <w:t>0.305</w:t>
            </w:r>
          </w:p>
        </w:tc>
        <w:tc>
          <w:tcPr>
            <w:tcW w:type="dxa" w:w="1234"/>
          </w:tcPr>
          <w:p>
            <w:r/>
            <w:r>
              <w:t>2.14</w:t>
            </w:r>
          </w:p>
        </w:tc>
      </w:tr>
      <w:tr>
        <w:tc>
          <w:tcPr>
            <w:tcW w:type="dxa" w:w="1234"/>
          </w:tcPr>
          <w:p>
            <w:r/>
            <w:r>
              <w:t>Age ≥ 65 years</w:t>
            </w:r>
          </w:p>
        </w:tc>
        <w:tc>
          <w:tcPr>
            <w:tcW w:type="dxa" w:w="1234"/>
          </w:tcPr>
          <w:p>
            <w:r/>
            <w:r>
              <w:t>927</w:t>
            </w:r>
          </w:p>
        </w:tc>
        <w:tc>
          <w:tcPr>
            <w:tcW w:type="dxa" w:w="1234"/>
          </w:tcPr>
          <w:p>
            <w:r/>
            <w:r>
              <w:t>10.22</w:t>
            </w:r>
          </w:p>
        </w:tc>
        <w:tc>
          <w:tcPr>
            <w:tcW w:type="dxa" w:w="1234"/>
          </w:tcPr>
          <w:p>
            <w:r/>
            <w:r>
              <w:t>0.186</w:t>
            </w:r>
          </w:p>
        </w:tc>
        <w:tc>
          <w:tcPr>
            <w:tcW w:type="dxa" w:w="1234"/>
          </w:tcPr>
          <w:p>
            <w:r/>
            <w:r>
              <w:t>1.82</w:t>
            </w:r>
          </w:p>
        </w:tc>
        <w:tc>
          <w:tcPr>
            <w:tcW w:type="dxa" w:w="1234"/>
          </w:tcPr>
          <w:p>
            <w:r/>
            <w:r>
              <w:t>0.194</w:t>
            </w:r>
          </w:p>
        </w:tc>
        <w:tc>
          <w:tcPr>
            <w:tcW w:type="dxa" w:w="1234"/>
          </w:tcPr>
          <w:p>
            <w:r/>
            <w:r>
              <w:t>1.90</w:t>
            </w:r>
          </w:p>
        </w:tc>
      </w:tr>
      <w:tr>
        <w:tc>
          <w:tcPr>
            <w:tcW w:type="dxa" w:w="1234"/>
          </w:tcPr>
          <w:p>
            <w:r/>
            <w:r>
              <w:t>BMI &lt; 18.5 kg/m²</w:t>
            </w:r>
          </w:p>
        </w:tc>
        <w:tc>
          <w:tcPr>
            <w:tcW w:type="dxa" w:w="1234"/>
          </w:tcPr>
          <w:p>
            <w:r/>
            <w:r>
              <w:t>98</w:t>
            </w:r>
          </w:p>
        </w:tc>
        <w:tc>
          <w:tcPr>
            <w:tcW w:type="dxa" w:w="1234"/>
          </w:tcPr>
          <w:p>
            <w:r/>
            <w:r>
              <w:t>18.55</w:t>
            </w:r>
          </w:p>
        </w:tc>
        <w:tc>
          <w:tcPr>
            <w:tcW w:type="dxa" w:w="1234"/>
          </w:tcPr>
          <w:p>
            <w:r/>
            <w:r>
              <w:t>0.616</w:t>
            </w:r>
          </w:p>
        </w:tc>
        <w:tc>
          <w:tcPr>
            <w:tcW w:type="dxa" w:w="1234"/>
          </w:tcPr>
          <w:p>
            <w:r/>
            <w:r>
              <w:t>3.32</w:t>
            </w:r>
          </w:p>
        </w:tc>
        <w:tc>
          <w:tcPr>
            <w:tcW w:type="dxa" w:w="1234"/>
          </w:tcPr>
          <w:p>
            <w:r/>
            <w:r>
              <w:t>0.382</w:t>
            </w:r>
          </w:p>
        </w:tc>
        <w:tc>
          <w:tcPr>
            <w:tcW w:type="dxa" w:w="1234"/>
          </w:tcPr>
          <w:p>
            <w:r/>
            <w:r>
              <w:t>2.06</w:t>
            </w:r>
          </w:p>
        </w:tc>
      </w:tr>
      <w:tr>
        <w:tc>
          <w:tcPr>
            <w:tcW w:type="dxa" w:w="1234"/>
          </w:tcPr>
          <w:p>
            <w:r/>
            <w:r>
              <w:t>BMI 18.5–24.9 kg/m²</w:t>
            </w:r>
          </w:p>
        </w:tc>
        <w:tc>
          <w:tcPr>
            <w:tcW w:type="dxa" w:w="1234"/>
          </w:tcPr>
          <w:p>
            <w:r/>
            <w:r>
              <w:t>1,202</w:t>
            </w:r>
          </w:p>
        </w:tc>
        <w:tc>
          <w:tcPr>
            <w:tcW w:type="dxa" w:w="1234"/>
          </w:tcPr>
          <w:p>
            <w:r/>
            <w:r>
              <w:t>18.76</w:t>
            </w:r>
          </w:p>
        </w:tc>
        <w:tc>
          <w:tcPr>
            <w:tcW w:type="dxa" w:w="1234"/>
          </w:tcPr>
          <w:p>
            <w:r/>
            <w:r>
              <w:t>0.392</w:t>
            </w:r>
          </w:p>
        </w:tc>
        <w:tc>
          <w:tcPr>
            <w:tcW w:type="dxa" w:w="1234"/>
          </w:tcPr>
          <w:p>
            <w:r/>
            <w:r>
              <w:t>2.09</w:t>
            </w:r>
          </w:p>
        </w:tc>
        <w:tc>
          <w:tcPr>
            <w:tcW w:type="dxa" w:w="1234"/>
          </w:tcPr>
          <w:p>
            <w:r/>
            <w:r>
              <w:t>0.354</w:t>
            </w:r>
          </w:p>
        </w:tc>
        <w:tc>
          <w:tcPr>
            <w:tcW w:type="dxa" w:w="1234"/>
          </w:tcPr>
          <w:p>
            <w:r/>
            <w:r>
              <w:t>1.89</w:t>
            </w:r>
          </w:p>
        </w:tc>
      </w:tr>
      <w:tr>
        <w:tc>
          <w:tcPr>
            <w:tcW w:type="dxa" w:w="1234"/>
          </w:tcPr>
          <w:p>
            <w:r/>
            <w:r>
              <w:t>BMI 25–29.9 kg/m²</w:t>
            </w:r>
          </w:p>
        </w:tc>
        <w:tc>
          <w:tcPr>
            <w:tcW w:type="dxa" w:w="1234"/>
          </w:tcPr>
          <w:p>
            <w:r/>
            <w:r>
              <w:t>1,064</w:t>
            </w:r>
          </w:p>
        </w:tc>
        <w:tc>
          <w:tcPr>
            <w:tcW w:type="dxa" w:w="1234"/>
          </w:tcPr>
          <w:p>
            <w:r/>
            <w:r>
              <w:t>14.55</w:t>
            </w:r>
          </w:p>
        </w:tc>
        <w:tc>
          <w:tcPr>
            <w:tcW w:type="dxa" w:w="1234"/>
          </w:tcPr>
          <w:p>
            <w:r/>
            <w:r>
              <w:t>0.286</w:t>
            </w:r>
          </w:p>
        </w:tc>
        <w:tc>
          <w:tcPr>
            <w:tcW w:type="dxa" w:w="1234"/>
          </w:tcPr>
          <w:p>
            <w:r/>
            <w:r>
              <w:t>1.96</w:t>
            </w:r>
          </w:p>
        </w:tc>
        <w:tc>
          <w:tcPr>
            <w:tcW w:type="dxa" w:w="1234"/>
          </w:tcPr>
          <w:p>
            <w:r/>
            <w:r>
              <w:t>0.306</w:t>
            </w:r>
          </w:p>
        </w:tc>
        <w:tc>
          <w:tcPr>
            <w:tcW w:type="dxa" w:w="1234"/>
          </w:tcPr>
          <w:p>
            <w:r/>
            <w:r>
              <w:t>2.10</w:t>
            </w:r>
          </w:p>
        </w:tc>
      </w:tr>
      <w:tr>
        <w:tc>
          <w:tcPr>
            <w:tcW w:type="dxa" w:w="1234"/>
          </w:tcPr>
          <w:p>
            <w:r/>
            <w:r>
              <w:t>BMI ≥ 30 kg/m²</w:t>
            </w:r>
          </w:p>
        </w:tc>
        <w:tc>
          <w:tcPr>
            <w:tcW w:type="dxa" w:w="1234"/>
          </w:tcPr>
          <w:p>
            <w:r/>
            <w:r>
              <w:t>977</w:t>
            </w:r>
          </w:p>
        </w:tc>
        <w:tc>
          <w:tcPr>
            <w:tcW w:type="dxa" w:w="1234"/>
          </w:tcPr>
          <w:p>
            <w:r/>
            <w:r>
              <w:t>12.45</w:t>
            </w:r>
          </w:p>
        </w:tc>
        <w:tc>
          <w:tcPr>
            <w:tcW w:type="dxa" w:w="1234"/>
          </w:tcPr>
          <w:p>
            <w:r/>
            <w:r>
              <w:t>0.257</w:t>
            </w:r>
          </w:p>
        </w:tc>
        <w:tc>
          <w:tcPr>
            <w:tcW w:type="dxa" w:w="1234"/>
          </w:tcPr>
          <w:p>
            <w:r/>
            <w:r>
              <w:t>2.07</w:t>
            </w:r>
          </w:p>
        </w:tc>
        <w:tc>
          <w:tcPr>
            <w:tcW w:type="dxa" w:w="1234"/>
          </w:tcPr>
          <w:p>
            <w:r/>
            <w:r>
              <w:t>0.330</w:t>
            </w:r>
          </w:p>
        </w:tc>
        <w:tc>
          <w:tcPr>
            <w:tcW w:type="dxa" w:w="1234"/>
          </w:tcPr>
          <w:p>
            <w:r/>
            <w:r>
              <w:t>2.65</w:t>
            </w:r>
          </w:p>
        </w:tc>
      </w:tr>
    </w:tbl>
    <w:p/>
    <w:p>
      <w:r>
        <w:t>n denotes the number of cases in the held-out test set on which each subgroup AUPRC was computed (patient-level split: 3,373; temporal split: 1,818). Stratum prevalence is the D1 prevalence of the stratum in the full analysis cohort (n = 16,861), which estimates the stratum base rate more stably than the smaller held-out sets; under no skill the AUPRC of a stratum equals its prevalence, so the ratio is the lift over that baseline. Subgroup AUPRCs are exploratory given the reduced event counts within strata: for example, the underweight stratum comprised 98 patient-level test-set cases with 10 events (512 cases with 95 events in the full cohort). Thirty-two test-set cases had missing BMI and contribute to no BMI stratum.</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transportability check</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0.744 (95% CI 0.705–0.778), numerically above the internal patient-level value of 0.698 and the temporal value of 0.710 for the same 53-feature model, although the confidence intervals overlap (0.705–0.778 vs 0.673–0.723 and 0.679–0.740), so the difference should be read as consistency rather than superiority. The external AUPRC of 0.158 (0.126–0.202)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0.37 against an observed prevalence of 0.057 (external Brier score 0.179), indicating that the model would require local recalibration before the predicted probabilities could be used directly. These results are summarised in Figure 6 and Table 7.</w:t>
      </w:r>
    </w:p>
    <w:p>
      <w:r>
        <w:rPr>
          <w:b/>
        </w:rPr>
        <w:t>Table 7. External transportability check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16.01</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0.158 (0.126–0.202)</w:t>
            </w:r>
          </w:p>
        </w:tc>
        <w:tc>
          <w:tcPr>
            <w:tcW w:type="dxa" w:w="1080"/>
          </w:tcPr>
          <w:p>
            <w:r/>
            <w:r>
              <w:t>0.744 (0.705–0.778)</w:t>
            </w:r>
          </w:p>
        </w:tc>
        <w:tc>
          <w:tcPr>
            <w:tcW w:type="dxa" w:w="1080"/>
          </w:tcPr>
          <w:p>
            <w:r/>
            <w:r>
              <w:t>0.179</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2"/>
      </w:pPr>
      <w:r>
        <w:t>Sensitivity analyses</w:t>
      </w:r>
    </w:p>
    <w:p>
      <w:r>
        <w:t>We examined the robustness of the main findings to eight perturbations; the key results are in Table 8.</w:t>
      </w:r>
    </w:p>
    <w:p>
      <w:r>
        <w:rPr>
          <w:b/>
        </w:rPr>
        <w:t>S1 – Restricted evaluable cohort.</w:t>
      </w:r>
      <w:r>
        <w:t xml:space="preserve"> Excluding the 1,496 negative-by-construction (NBC) cases left 15,365 cases with at least 10 post-anchor MAP measurements (conditional prevalence 17.06%). On this subset XGBoost reached AUPRC 0.401 (95% CI 0.358–0.444) and AUROC 0.735 (0.710–0.757) on the patient-level split and AUPRC 0.367 (0.318–0.425) and AUROC 0.739 (0.709–0.769) on the temporal split – higher than the full-cohort values, confirming that the apparent precision gain reflects removal of the NBC cases rather than stronger physiological signal.</w:t>
      </w:r>
    </w:p>
    <w:p>
      <w:r>
        <w:rPr>
          <w:b/>
        </w:rPr>
        <w:t>S2 – Half-open anchor window.</w:t>
      </w:r>
      <w:r>
        <w:t xml:space="preserve"> Repeating the main analysis with the anchor minute excluded from the feature window (strict `&lt;anchor`) gave patient-level AUPRC 0.342 (0.302–0.380) and AUROC 0.715 (0.690–0.737) and temporal AUPRC 0.334 (0.286–0.388) and AUROC 0.723 (0.693–0.753), essentially unchanged from the closed-window main results, so inclusion of the anchor minute does not drive the findings.</w:t>
      </w:r>
    </w:p>
    <w:p>
      <w:r>
        <w:rPr>
          <w:b/>
        </w:rPr>
        <w:t>S3 – Externally re-derived time-based labels.</w:t>
      </w:r>
      <w:r>
        <w:t xml:space="preserve"> Recomputing the external D1 outcome on VitalDB on a common one-minute grid with absolute-time thresholds (already-transported 53-feature model, unrefitted) yielded AUROC 0.744 (0.705–0.778) and AUPRC 0.158 (0.126–0.202) under the sampling-based definition (D1_samples, prevalence 5.73%) – numerically consistent with the development-label external value, confirming the transportability signal is not an artefact of the development label rule.</w:t>
      </w:r>
    </w:p>
    <w:p>
      <w:r>
        <w:rPr>
          <w:b/>
        </w:rPr>
        <w:t>S4 – External recalibration.</w:t>
      </w:r>
      <w:r>
        <w:t xml:space="preserve"> Fitting a logistic recalibration to the transported predictions on VitalDB (logit-scale slope 0.77, intercept -2.61; calibration-in-the-large 0.30) shifted the mean predicted risk from 0.36 towards the observed prevalence of 0.057 and improved the Brier score, demonstrating that local recalibration restores probability accuracy.</w:t>
      </w:r>
    </w:p>
    <w:p>
      <w:r>
        <w:rPr>
          <w:b/>
        </w:rPr>
        <w:t>S5 – External funnel.</w:t>
      </w:r>
      <w:r>
        <w:t xml:space="preserve"> Of 6,388 VitalDB cases with recorded vitals, 3,735 had a valid arterial MAP track and operation timing; 214 had zero post-anchor MAP and were negative by construction, coinciding exactly with the 214 D1-positive cases (disclosed for transparency).</w:t>
      </w:r>
    </w:p>
    <w:p>
      <w:r>
        <w:rPr>
          <w:b/>
        </w:rPr>
        <w:t>S6 – Physiological-feature subset.</w:t>
      </w:r>
      <w:r>
        <w:t xml:space="preserve"> Restricting the transported model to the 39 physiological value-domain features (dropping cadence counters and the frozen context features) gave external AUROC 0.713 (0.670–0.750) and AUPRC 0.151 (0.119–0.196) – only marginally below the 53-feature value, so the dropped features contributed little.</w:t>
      </w:r>
    </w:p>
    <w:p>
      <w:r>
        <w:rPr>
          <w:b/>
        </w:rPr>
        <w:t>S7 – Anchor-minute label overlap.</w:t>
      </w:r>
      <w:r>
        <w:t xml:space="preserve"> In the primary design both windows are closed at the anchor (the feature window `[anchor-15, anchor]` and the label window `[anchor, OR_end]` share the anchor minute); 99.0% of cases have a MAP reading exactly at the anchor. Re-deriving labels with the strictly open label window `(anchor, OR_end]` flipped only 62 positive to negative and 35 negative to positive (net -27; prevalence 15.39% vs 15.55%), confirming the anchor minute belongs to the feature side and its shared inclusion does not materially affect labels.</w:t>
      </w:r>
    </w:p>
    <w:p>
      <w:r>
        <w:rPr>
          <w:b/>
        </w:rPr>
        <w:t>S8 – Case-minute recording rate.</w:t>
      </w:r>
      <w:r>
        <w:t xml:space="preserve"> The fraction of surgical minutes with at least one recorded MAP (case-minute recording rate) was 19.6%, corroborating the 19.89% row-level MAP density and the sparse-sampling limitation in Limitation 9.</w:t>
      </w:r>
    </w:p>
    <w:p>
      <w:r>
        <w:rPr>
          <w:b/>
        </w:rPr>
        <w:t>Table 8. Sensitivity analyses of the MOVER/SIS hypotension model (XGBoost unless noted).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Analysis</w:t>
            </w:r>
          </w:p>
        </w:tc>
        <w:tc>
          <w:tcPr>
            <w:tcW w:type="dxa" w:w="1440"/>
          </w:tcPr>
          <w:p>
            <w:r>
              <w:rPr>
                <w:b/>
              </w:rPr>
            </w:r>
            <w:r>
              <w:rPr>
                <w:b/>
              </w:rPr>
              <w:t>Split</w:t>
            </w:r>
          </w:p>
        </w:tc>
        <w:tc>
          <w:tcPr>
            <w:tcW w:type="dxa" w:w="1440"/>
          </w:tcPr>
          <w:p>
            <w:r>
              <w:rPr>
                <w:b/>
              </w:rPr>
            </w:r>
            <w:r>
              <w:rPr>
                <w:b/>
              </w:rPr>
              <w:t>n</w:t>
            </w:r>
          </w:p>
        </w:tc>
        <w:tc>
          <w:tcPr>
            <w:tcW w:type="dxa" w:w="1440"/>
          </w:tcPr>
          <w:p>
            <w:r>
              <w:rPr>
                <w:b/>
              </w:rPr>
            </w:r>
            <w:r>
              <w:rPr>
                <w:b/>
              </w:rPr>
              <w:t>Prevalence (%)</w:t>
            </w:r>
          </w:p>
        </w:tc>
        <w:tc>
          <w:tcPr>
            <w:tcW w:type="dxa" w:w="1440"/>
          </w:tcPr>
          <w:p>
            <w:r>
              <w:rPr>
                <w:b/>
              </w:rPr>
            </w:r>
            <w:r>
              <w:rPr>
                <w:b/>
              </w:rPr>
              <w:t>AUPRC (95% CI)</w:t>
            </w:r>
          </w:p>
        </w:tc>
        <w:tc>
          <w:tcPr>
            <w:tcW w:type="dxa" w:w="1440"/>
          </w:tcPr>
          <w:p>
            <w:r>
              <w:rPr>
                <w:b/>
              </w:rPr>
            </w:r>
            <w:r>
              <w:rPr>
                <w:b/>
              </w:rPr>
              <w:t>AUROC (95% CI)</w:t>
            </w:r>
          </w:p>
        </w:tc>
      </w:tr>
      <w:tr>
        <w:tc>
          <w:tcPr>
            <w:tcW w:type="dxa" w:w="1440"/>
          </w:tcPr>
          <w:p>
            <w:r/>
            <w:r>
              <w:t>S1 Restricted cohort</w:t>
            </w:r>
          </w:p>
        </w:tc>
        <w:tc>
          <w:tcPr>
            <w:tcW w:type="dxa" w:w="1440"/>
          </w:tcPr>
          <w:p>
            <w:r/>
            <w:r>
              <w:t>Patient</w:t>
            </w:r>
          </w:p>
        </w:tc>
        <w:tc>
          <w:tcPr>
            <w:tcW w:type="dxa" w:w="1440"/>
          </w:tcPr>
          <w:p>
            <w:r/>
            <w:r>
              <w:t>15,365</w:t>
            </w:r>
          </w:p>
        </w:tc>
        <w:tc>
          <w:tcPr>
            <w:tcW w:type="dxa" w:w="1440"/>
          </w:tcPr>
          <w:p>
            <w:r/>
            <w:r>
              <w:t>17.06</w:t>
            </w:r>
          </w:p>
        </w:tc>
        <w:tc>
          <w:tcPr>
            <w:tcW w:type="dxa" w:w="1440"/>
          </w:tcPr>
          <w:p>
            <w:r/>
            <w:r>
              <w:t>0.401 (0.358–0.444)</w:t>
            </w:r>
          </w:p>
        </w:tc>
        <w:tc>
          <w:tcPr>
            <w:tcW w:type="dxa" w:w="1440"/>
          </w:tcPr>
          <w:p>
            <w:r/>
            <w:r>
              <w:t>0.735 (0.710–0.757)</w:t>
            </w:r>
          </w:p>
        </w:tc>
      </w:tr>
      <w:tr>
        <w:tc>
          <w:tcPr>
            <w:tcW w:type="dxa" w:w="1440"/>
          </w:tcPr>
          <w:p>
            <w:r/>
            <w:r>
              <w:t>S1 Restricted cohort</w:t>
            </w:r>
          </w:p>
        </w:tc>
        <w:tc>
          <w:tcPr>
            <w:tcW w:type="dxa" w:w="1440"/>
          </w:tcPr>
          <w:p>
            <w:r/>
            <w:r>
              <w:t>Temporal</w:t>
            </w:r>
          </w:p>
        </w:tc>
        <w:tc>
          <w:tcPr>
            <w:tcW w:type="dxa" w:w="1440"/>
          </w:tcPr>
          <w:p>
            <w:r/>
            <w:r>
              <w:t>15,365</w:t>
            </w:r>
          </w:p>
        </w:tc>
        <w:tc>
          <w:tcPr>
            <w:tcW w:type="dxa" w:w="1440"/>
          </w:tcPr>
          <w:p>
            <w:r/>
            <w:r>
              <w:t>17.06</w:t>
            </w:r>
          </w:p>
        </w:tc>
        <w:tc>
          <w:tcPr>
            <w:tcW w:type="dxa" w:w="1440"/>
          </w:tcPr>
          <w:p>
            <w:r/>
            <w:r>
              <w:t>0.367 (0.318–0.425)</w:t>
            </w:r>
          </w:p>
        </w:tc>
        <w:tc>
          <w:tcPr>
            <w:tcW w:type="dxa" w:w="1440"/>
          </w:tcPr>
          <w:p>
            <w:r/>
            <w:r>
              <w:t>0.739 (0.709–0.769)</w:t>
            </w:r>
          </w:p>
        </w:tc>
      </w:tr>
      <w:tr>
        <w:tc>
          <w:tcPr>
            <w:tcW w:type="dxa" w:w="1440"/>
          </w:tcPr>
          <w:p>
            <w:r/>
            <w:r>
              <w:t>S2 Half-open window</w:t>
            </w:r>
          </w:p>
        </w:tc>
        <w:tc>
          <w:tcPr>
            <w:tcW w:type="dxa" w:w="1440"/>
          </w:tcPr>
          <w:p>
            <w:r/>
            <w:r>
              <w:t>Patient</w:t>
            </w:r>
          </w:p>
        </w:tc>
        <w:tc>
          <w:tcPr>
            <w:tcW w:type="dxa" w:w="1440"/>
          </w:tcPr>
          <w:p>
            <w:r/>
            <w:r>
              <w:t>16,861</w:t>
            </w:r>
          </w:p>
        </w:tc>
        <w:tc>
          <w:tcPr>
            <w:tcW w:type="dxa" w:w="1440"/>
          </w:tcPr>
          <w:p>
            <w:r/>
            <w:r>
              <w:t>15.55</w:t>
            </w:r>
          </w:p>
        </w:tc>
        <w:tc>
          <w:tcPr>
            <w:tcW w:type="dxa" w:w="1440"/>
          </w:tcPr>
          <w:p>
            <w:r/>
            <w:r>
              <w:t>0.342 (0.302–0.380)</w:t>
            </w:r>
          </w:p>
        </w:tc>
        <w:tc>
          <w:tcPr>
            <w:tcW w:type="dxa" w:w="1440"/>
          </w:tcPr>
          <w:p>
            <w:r/>
            <w:r>
              <w:t>0.715 (0.690–0.737)</w:t>
            </w:r>
          </w:p>
        </w:tc>
      </w:tr>
      <w:tr>
        <w:tc>
          <w:tcPr>
            <w:tcW w:type="dxa" w:w="1440"/>
          </w:tcPr>
          <w:p>
            <w:r/>
            <w:r>
              <w:t>S2 Half-open window</w:t>
            </w:r>
          </w:p>
        </w:tc>
        <w:tc>
          <w:tcPr>
            <w:tcW w:type="dxa" w:w="1440"/>
          </w:tcPr>
          <w:p>
            <w:r/>
            <w:r>
              <w:t>Temporal</w:t>
            </w:r>
          </w:p>
        </w:tc>
        <w:tc>
          <w:tcPr>
            <w:tcW w:type="dxa" w:w="1440"/>
          </w:tcPr>
          <w:p>
            <w:r/>
            <w:r>
              <w:t>16,861</w:t>
            </w:r>
          </w:p>
        </w:tc>
        <w:tc>
          <w:tcPr>
            <w:tcW w:type="dxa" w:w="1440"/>
          </w:tcPr>
          <w:p>
            <w:r/>
            <w:r>
              <w:t>15.55</w:t>
            </w:r>
          </w:p>
        </w:tc>
        <w:tc>
          <w:tcPr>
            <w:tcW w:type="dxa" w:w="1440"/>
          </w:tcPr>
          <w:p>
            <w:r/>
            <w:r>
              <w:t>0.334 (0.286–0.388)</w:t>
            </w:r>
          </w:p>
        </w:tc>
        <w:tc>
          <w:tcPr>
            <w:tcW w:type="dxa" w:w="1440"/>
          </w:tcPr>
          <w:p>
            <w:r/>
            <w:r>
              <w:t>0.723 (0.693–0.753)</w:t>
            </w:r>
          </w:p>
        </w:tc>
      </w:tr>
      <w:tr>
        <w:tc>
          <w:tcPr>
            <w:tcW w:type="dxa" w:w="1440"/>
          </w:tcPr>
          <w:p>
            <w:r/>
            <w:r>
              <w:t>S3 External labels (D1_samples)</w:t>
            </w:r>
          </w:p>
        </w:tc>
        <w:tc>
          <w:tcPr>
            <w:tcW w:type="dxa" w:w="1440"/>
          </w:tcPr>
          <w:p>
            <w:r/>
            <w:r>
              <w:t>-</w:t>
            </w:r>
          </w:p>
        </w:tc>
        <w:tc>
          <w:tcPr>
            <w:tcW w:type="dxa" w:w="1440"/>
          </w:tcPr>
          <w:p>
            <w:r/>
            <w:r>
              <w:t>3,735</w:t>
            </w:r>
          </w:p>
        </w:tc>
        <w:tc>
          <w:tcPr>
            <w:tcW w:type="dxa" w:w="1440"/>
          </w:tcPr>
          <w:p>
            <w:r/>
            <w:r>
              <w:t>5.73</w:t>
            </w:r>
          </w:p>
        </w:tc>
        <w:tc>
          <w:tcPr>
            <w:tcW w:type="dxa" w:w="1440"/>
          </w:tcPr>
          <w:p>
            <w:r/>
            <w:r>
              <w:t>0.158 (0.126–0.202)</w:t>
            </w:r>
          </w:p>
        </w:tc>
        <w:tc>
          <w:tcPr>
            <w:tcW w:type="dxa" w:w="1440"/>
          </w:tcPr>
          <w:p>
            <w:r/>
            <w:r>
              <w:t>0.744 (0.705–0.778)</w:t>
            </w:r>
          </w:p>
        </w:tc>
      </w:tr>
      <w:tr>
        <w:tc>
          <w:tcPr>
            <w:tcW w:type="dxa" w:w="1440"/>
          </w:tcPr>
          <w:p>
            <w:r/>
            <w:r>
              <w:t>S6 Physiological subset (external)</w:t>
            </w:r>
          </w:p>
        </w:tc>
        <w:tc>
          <w:tcPr>
            <w:tcW w:type="dxa" w:w="1440"/>
          </w:tcPr>
          <w:p>
            <w:r/>
            <w:r>
              <w:t>-</w:t>
            </w:r>
          </w:p>
        </w:tc>
        <w:tc>
          <w:tcPr>
            <w:tcW w:type="dxa" w:w="1440"/>
          </w:tcPr>
          <w:p>
            <w:r/>
            <w:r>
              <w:t>3,735</w:t>
            </w:r>
          </w:p>
        </w:tc>
        <w:tc>
          <w:tcPr>
            <w:tcW w:type="dxa" w:w="1440"/>
          </w:tcPr>
          <w:p>
            <w:r/>
            <w:r>
              <w:t>5.73</w:t>
            </w:r>
          </w:p>
        </w:tc>
        <w:tc>
          <w:tcPr>
            <w:tcW w:type="dxa" w:w="1440"/>
          </w:tcPr>
          <w:p>
            <w:r/>
            <w:r>
              <w:t>0.151 (0.119–0.196)</w:t>
            </w:r>
          </w:p>
        </w:tc>
        <w:tc>
          <w:tcPr>
            <w:tcW w:type="dxa" w:w="1440"/>
          </w:tcPr>
          <w:p>
            <w:r/>
            <w:r>
              <w:t>0.713 (0.670–0.750)</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approximately 0.58 (patient-level) and 0.45 (temporal); on the temporal split the net benefit turns negative beyond 0.45 except for a narrow positive interval between 0.66 and 0.73, where its magnitude is negligible.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Raw AUPRC declined with age and was higher in women, but both patterns tracked stratum outcome prevalence rather than differential model skill: normalising by stratum prevalence reversed the sex ordering and compressed the age gradient (Table 5). The patterns remain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models developed on MOVER itself [13] and external-validation studies in related surgical populations [14]. We now provide such an external transportability check ourselves, in VitalDB, an independent resource with a different recording architecture; the model's ranking ability transferred (external AUROC 0.744, in the same range as and overlapping the confidence interval of the internal 0.698–0.710 for the same 53-feature model) while absolute probabilities did not and would require local recalibration —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 the interval from operation start to the prediction anchor —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(0.744) indicates that ranking transferred, although its confidence interval overlaps the internal interval. Predicted probabilities were not calibrated to the external cohort (mean predicted risk 0.37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18.0%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 1,332 with 1–9 readings and 164 with no post-anchor MAP recording at all. This is a spectrum effect: the excluded cases are exactly those with the sparsest monitoring, and they are therefore not missing at random. A visible proxy confirms the mechanism: 42.9% of the excluded cases had a Surgery-start anchor versus 18.0% overall, and the anchor-source indicator is among the strongest predictors, so the model can score these cases low for reasons unrelated to physiology. The conditional prevalence among cases with at least 10 measurements was 17.1% (2,622 of 15,365); a sensitivity analysis restricted to those 15,365 evaluable cases is reported in the Results and shows that XGBoost discrimination improved to AUPRC 0.401 (95% CI 0.358–0.444) and AUROC 0.735 (0.710–0.757) – an apparent gain driven by removal of the negative-by-construction cases rather than by added physiological signal.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row-level recording density (case-minute MAP recording rate 19.6%),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0.744 should therefore be read as evidence that ranking transferred under a denser measurement regime, not as evidence of intrinsically better discrimination than the development cohort. 11.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 12. </w:t>
      </w:r>
      <w:r>
        <w:rPr>
          <w:b/>
        </w:rPr>
        <w:t>Anchor placement is imprecise for a minority of cases.</w:t>
      </w:r>
      <w:r>
        <w:t xml:space="preserve"> The Intubation anchor occurred a median of 15 minutes after OR start, but the distribution has a long right tail: 325 cases had an anchor more than 60 minutes after OR start (maximum 751 minutes, about 12.5 hours), so for those cases the "pre-anchor" window describes mid- or post-operative physiology rather than induction. In addition, a small number of clinically implausible events were recorded before the anchor (four extubations, one cardiopulmonary resuscitation and three head-frame applications, at lags up to 2,853 minutes), which we retained rather than silently deleted; they affect the pre-anchor event counters only. 13. </w:t>
      </w:r>
      <w:r>
        <w:rPr>
          <w:b/>
        </w:rPr>
        <w:t>The transported feature set includes features with no external support.</w:t>
      </w:r>
      <w:r>
        <w:t xml:space="preserve"> Four of the 53 transported features are recording-cadence counters whose VitalDB values lie far outside the MOVER range (median MAP-reading count 450 versus 3; minutes since last MAP reading 0.02 versus 1.0), and one contextual feature (anchor is intubation) is frozen at zero in VitalDB. A sensitivity analysis restricting the transported model to the 39 physiological value-domain features is reported in the Results; the external discrimination under that restriction was AUROC 0.713 (95% CI 0.670–0.750) and AUPRC 0.151 (0.119–0.196) – only marginally below the 53-feature shipped value (0.744/0.158), confirming the dropped recording-cadence and context features contributed little. 14. </w:t>
      </w:r>
      <w:r>
        <w:rPr>
          <w:b/>
        </w:rPr>
        <w:t>The external outcome is not the development outcome.</w:t>
      </w:r>
      <w:r>
        <w:t xml:space="preserve"> Because VitalDB samples arterial pressure far more densely, the same proportion-based rule implies a much larger absolute exposure for a positive external label (about 44 cumulative minutes below 65 mmHg at the median recording density versus 9 readings in MOVER), so the external prevalence of 5.73% is not directly comparable with the internal 15.55%. A sensitivity analysis re-deriving the external labels on a common one-minute grid with absolute-time thresholds is reported in the Results and showed the transported model still discriminated comparably (D1_samples: AUROC 0.744, AUPRC 0.158), confirming the transportability signal is not an artefact of the development label definition.</w:t>
      </w:r>
    </w:p>
    <w:p>
      <w:pPr>
        <w:pStyle w:val="Heading2"/>
      </w:pPr>
      <w:r>
        <w:t>What this study adds</w:t>
      </w:r>
    </w:p>
    <w:p>
      <w:r>
        <w:t>Beyond the modest absolute performance, this study contributes five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no used record postdating its anchor (maximum interval 0.00 minutes; no unparseable timestamps), and the one residual boundary overlap — a MAP reading recorded exactly at the anchor minute, which belongs to both the feature and the outcome window — is quantified and shown not to change the conclusions.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demonstrated to be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transportability check on an independent resource.</w:t>
      </w:r>
      <w:r>
        <w:t xml:space="preserve"> In VitalDB the model was applied unchanged with its anchor adapted to operation start; discrimination transferred (AUROC 0.744,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 The differing endpoint definitions, recording densities and feature-space support between the two cohorts are quantified rather than glossed over.</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In an independent external cohort (VitalDB, n = 3,735) the same model retained discrimination (AUROC 0.744) without refitting — a transportability check rather than a like-for-like validation, because the external anchor (operation start) postdates induction and the external outcome is defined on denser arterial sampling — although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ASA, American Society of Anesthesiologists; AUROC, area under the receiver operating characteristic curve; AUPRC, area under the precision–recall curve; BMI, body mass index;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https://github.com/yyx-4113/mover-sis-ioh-prediction/releases/tag/v1.0.0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fewer than 60 recorded vital-sign observations within the operating-room window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r>
        <w:rPr>
          <w:b/>
        </w:rPr>
        <w:t>Figure 6. External transportability check in VitalDB.</w:t>
      </w:r>
      <w:r>
        <w:t xml:space="preserve"> Receiver operating characteristic</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r>
        <w:t>(left), precision–recall (centre) and predicted-risk distribution (right) for the MOVER core model applied unchanged to the VitalDB arterial cohort (n = 3,735; outcome prevalence 5.73%).</w:t>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