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Transparent, leakage-audited prediction of cumulative intraoperative hypotension burden from anaesthesia-induction data, with an external transportability check and quantification of sparse noninvasive blood pressure constraints</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960856791@qq.com</w:t>
      </w:r>
    </w:p>
    <w:p>
      <w:pPr>
        <w:pStyle w:val="Heading1"/>
      </w:pPr>
      <w:r>
        <w:t>Abstract</w:t>
      </w:r>
    </w:p>
    <w:p>
      <w:r>
        <w:rPr>
          <w:b/>
        </w:rPr>
        <w:t>Background:</w:t>
      </w:r>
      <w:r>
        <w:t xml:space="preserve"> Machine-learning estimates for intraoperative hypotension vary widely, with near-perfect discrimination reported on the same resource we analyse. Such estimates are hard to reconcile with the coarse information content of sparse, intermittent noninvasive blood pressure. We developed and internally validated a transparent, leakage-audited model predicting hypotensive exposure (≥30% of post-anchor MAP readings &lt;65 mmHg) over the remainder of surgery from induction-anchor data, and examined its transportability in an external cohort.</w:t>
      </w:r>
    </w:p>
    <w:p>
      <w:r>
        <w:rPr>
          <w:b/>
        </w:rPr>
        <w:t>Methods:</w:t>
      </w:r>
      <w:r>
        <w:t xml:space="preserve"> Retrospective MOVER/SIS cohort; 16,861 adult cases with a valid anchor (first intubation 13,834, 82.0%; else surgery start 3,027, 18.0%). Primary outcome: ≥10 post-anchor MAP readings with ≥30% below 65 mmHg. Predictors truncated at the anchor; four models fitted (baseline, full logistic, XGBoost, LightGBM). Validation used patient-level (primary) and temporal (secondary) splits; the unchanged core model was applied unrefitted to VitalDB (of 6,388 cases, n = 3,735 eligible; anchor adapted to operation start) as a transportability check. AUPRC was primary; AUROC, Brier, 1,000 bootstrap CIs, isotonic calibration and decision curve analysis were performed.</w:t>
      </w:r>
    </w:p>
    <w:p>
      <w:r>
        <w:rPr>
          <w:b/>
        </w:rPr>
        <w:t>Results:</w:t>
      </w:r>
      <w:r>
        <w:t xml:space="preserve"> The outcome occurred in 2,622/16,861 cases (15.55%). XGBoost achieved AUPRC 0.347 (95% CI 0.309–0.387) and AUROC 0.722 (0.697–0.745) on the patient-level split versus 0.233 (baseline), 0.301 (logistic) and 0.338 (LightGBM); temporal split 0.339/0.733. Isotonic recalibration improved Brier from 0.191 to 0.119; pre-anchor mean MAP dominated. Externally (VitalDB, prevalence 5.73%, 214 events) the unchanged model retained discrimination (AUROC 0.744, 0.705–0.778; AUPRC 0.158, 0.126–0.202) but probabilities were uncalibrated; 53-feature internal AUROC 0.698–0.710 confirmed transportability, not like-for-like validation.</w:t>
      </w:r>
    </w:p>
    <w:p>
      <w:r>
        <w:rPr>
          <w:b/>
        </w:rPr>
        <w:t>Conclusions:</w:t>
      </w:r>
      <w:r>
        <w:t xml:space="preserve"> Within a fully leakage-audited framework, an anchor-based model using routinely recorded pre-induction data achieved modest but non-null, well-calibrated discrimination for intraoperative hypotensive exposure. An external transportability check in VitalDB supported transfer of ranking but not of absolute probabilities, requiring local recalibration before clinical use. We quantify the ceiling that sparse noninvasive blood pressure imposes on such prediction and provide a transparent, auditable pipeline generalisable to similar resources.</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[16] and by a perioperative consensus that recommends keeping intraoperative mean arterial pressure at or above 60 mmHg in at-risk patients [17], and by further work linking intraoperative mean arterial pressure to outcomes [15].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machine-learning Hypotension Prediction Index [19],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vital-sign rows (about one in five)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We therefore set out to develop and internally validate a model for intraoperative hypotensive exposure over the remainder of surgery, using only information available at the anaesthesia induction anchor, to examine its transportability in an independent external cohort,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with the qualification that the external step is a transportability check rather than a like-for-like validation, because the external anchor, endpoint definition and recording density differ from the development cohort.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fewer than 60 vital-sign observations inside the OR window;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3,379,173 OR-window vital-sign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 xml:space="preserve">The primary outcome (D1) adopts the absolute MAP threshold (&lt;65 mmHg) of Salmasi et al. [1] but operationalises burden as the proportion of </w:t>
      </w:r>
      <w:r>
        <w:rPr>
          <w:i/>
        </w:rPr>
        <w:t>recorded</w:t>
      </w:r>
      <w:r>
        <w:t xml:space="preserve"> post-anchor MAP readings below threshold: at least 10 readings, of which at least 30% below 65 mmHg. Because non-invasive pressure is recorded intermittently rather than continuously, this is a proportion of recorded readings, not a cumulative time below threshold; the number of low readings required for a positive label therefore varies with recording density (3 to 77 readings across cases; median 9). The ≥10-measurement and ≥30%-below rule is our operational choice rather than a literal transcription of that report. Cases with fewer than 10 post-anchor measurements were classified as negative by construction; this applied to 1,496 cases (8.9%): 1,332 with 1–9 readings and 164 with no post-anchor MAP recording at all, because the definition deliberately requires a minimum amount of evidence before a burden can be asserted. A sensitivity analysis restricted to the 15,365 evaluable cases is reported in the Results.</w:t>
      </w:r>
    </w:p>
    <w:p>
      <w:r>
        <w:t>Because the choice of hypotension definition materially changes apparent performance, 14 candidate definitions were computed for every case and are reported in full (Table 2; their prevalence is shown in Figure 2).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 One boundary detail deserves statement: the physiological windows are closed at the anchor ([anchor−15, anchor]), so a MAP reading recorded exactly at the anchor minute belongs to both the feature window and the outcome window ([anchor, OR end]). Sensitivity analyses that exclude the anchor minute from the feature window, and separately from the outcome window, are reported in the Results; neither changed the conclusions.</w:t>
      </w:r>
    </w:p>
    <w:p>
      <w:r>
        <w:t>Surgical group was assigned from the free-text procedure description by keyword mapping into 12 surgical categories plus a no-surgery category,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the imputer was fitted within each training fold only, so no test-set information entered preprocessing.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 Hyperparameters were fixed a priori on clinical-iterative grounds rather than by external tuning; with 335 logistic parameters against 2,097 training events (events per variable ≈6.3, below the commonly cited 10-events-per-parameter heuristic [20]), the full logistic model is expected to be over-fitted and is reported as a comparator rather than a deployable model.</w:t>
      </w:r>
    </w:p>
    <w:p>
      <w:pPr>
        <w:pStyle w:val="Heading2"/>
      </w:pPr>
      <w:r>
        <w:t>External validation cohort</w:t>
      </w:r>
    </w:p>
    <w:p>
      <w:r>
        <w:t xml:space="preserve">As a transportability check rather than a like-for-like external validation, the MOVER core model was applied unchanged to VitalDB [18],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by the same rule over [opstart, opend]; because VitalDB samples arterial pressure far more densely than the intermittent non-invasive readings in MOVER, the same proportion-based rule implies a much larger absolute hypotensive exposure for a positive external label (at the median recording density, about 1,300 hypotensive samples, or some 44 cumulative minutes below 65 mmHg, versus 9 readings in MOVER), so the external endpoint is not equivalent to the development endpoint and part of the prevalence gap between cohorts is definitional rather than case-mix; a sensitivity analysis on a common one-minute-grid, absolute-time definition is reported in the Results. Of 6,388 VitalDB cases with recorded vital signs, 3,735 had an arterial MAP track (Solar8000/ART_MBP or EV1000/ART_MBP) together with valid operation timing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a residual source of transportability error. For transparency we note that the transported model was fitted on the full MOVER cohort (all 16,861 cases), whereas the internal comparators in Table 7 were fitted on the 80% training split of the patient-level split; the external model is therefore not disadvantaged by a smaller training set, but neither is it directly comparable to the held-out internal estimates.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on both the probability scale (linear-probability model) and the log-odds scale (logistic recalibration), in keeping with current guidance on calibration assessment [21].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[9], XGBoost 3.4.1 [10] and LightGBM 4.7.0 [11]. The random seed was fixed at 12,345. Every headline number reported in this manuscript is generated from a result file by the analysis pipeline and is traceable through an audit trail (Additional file 1) that records, for each quantity, its value, the producing artefact and the command that reproduces it; a small number of descriptive statistics (for example the interquartile ranges of recording density) are produced by the same scripts and are listed in the trail with their source artefact but without a dedicated reproduce command.</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(median, IQR)</w:t>
            </w:r>
          </w:p>
        </w:tc>
        <w:tc>
          <w:tcPr>
            <w:tcW w:type="dxa" w:w="4320"/>
          </w:tcPr>
          <w:p>
            <w:r/>
            <w:r>
              <w:t>54 (39–66)</w:t>
            </w:r>
          </w:p>
        </w:tc>
      </w:tr>
      <w:tr>
        <w:tc>
          <w:tcPr>
            <w:tcW w:type="dxa" w:w="4320"/>
          </w:tcPr>
          <w:p>
            <w:r/>
            <w:r>
              <w:t>Male sex, n (%)</w:t>
            </w:r>
          </w:p>
        </w:tc>
        <w:tc>
          <w:tcPr>
            <w:tcW w:type="dxa" w:w="4320"/>
          </w:tcPr>
          <w:p>
            <w:r/>
            <w:r>
              <w:t>8,355 (49.6)</w:t>
            </w:r>
          </w:p>
        </w:tc>
      </w:tr>
      <w:tr>
        <w:tc>
          <w:tcPr>
            <w:tcW w:type="dxa" w:w="4320"/>
          </w:tcPr>
          <w:p>
            <w:r/>
            <w:r>
              <w:t>Female sex, n (%)</w:t>
            </w:r>
          </w:p>
        </w:tc>
        <w:tc>
          <w:tcPr>
            <w:tcW w:type="dxa" w:w="4320"/>
          </w:tcPr>
          <w:p>
            <w:r/>
            <w:r>
              <w:t>8,502 (50.4)</w:t>
            </w:r>
          </w:p>
        </w:tc>
      </w:tr>
      <w:tr>
        <w:tc>
          <w:tcPr>
            <w:tcW w:type="dxa" w:w="4320"/>
          </w:tcPr>
          <w:p>
            <w:r/>
            <w:r>
              <w:t>Sex unknown, n (%)</w:t>
            </w:r>
          </w:p>
        </w:tc>
        <w:tc>
          <w:tcPr>
            <w:tcW w:type="dxa" w:w="4320"/>
          </w:tcPr>
          <w:p>
            <w:r/>
            <w:r>
              <w:t>4 (&lt;0.1)</w:t>
            </w:r>
          </w:p>
        </w:tc>
      </w:tr>
      <w:tr>
        <w:tc>
          <w:tcPr>
            <w:tcW w:type="dxa" w:w="4320"/>
          </w:tcPr>
          <w:p>
            <w:r/>
            <w:r>
              <w:t>Height, cm (median, IQR)</w:t>
            </w:r>
          </w:p>
        </w:tc>
        <w:tc>
          <w:tcPr>
            <w:tcW w:type="dxa" w:w="4320"/>
          </w:tcPr>
          <w:p>
            <w:r/>
            <w:r>
              <w:t>167 (160–175)</w:t>
            </w:r>
          </w:p>
        </w:tc>
      </w:tr>
      <w:tr>
        <w:tc>
          <w:tcPr>
            <w:tcW w:type="dxa" w:w="4320"/>
          </w:tcPr>
          <w:p>
            <w:r/>
            <w:r>
              <w:t>Weight, kg (median, IQR)</w:t>
            </w:r>
          </w:p>
        </w:tc>
        <w:tc>
          <w:tcPr>
            <w:tcW w:type="dxa" w:w="4320"/>
          </w:tcPr>
          <w:p>
            <w:r/>
            <w:r>
              <w:t>76 (63–90)</w:t>
            </w:r>
          </w:p>
        </w:tc>
      </w:tr>
      <w:tr>
        <w:tc>
          <w:tcPr>
            <w:tcW w:type="dxa" w:w="4320"/>
          </w:tcPr>
          <w:p>
            <w:r/>
            <w:r>
              <w:t>Body mass index, kg/m² (median, IQR)</w:t>
            </w:r>
          </w:p>
        </w:tc>
        <w:tc>
          <w:tcPr>
            <w:tcW w:type="dxa" w:w="4320"/>
          </w:tcPr>
          <w:p>
            <w:r/>
            <w:r>
              <w:t>26.6 (23.1–30.9)</w:t>
            </w:r>
          </w:p>
        </w:tc>
      </w:tr>
      <w:tr>
        <w:tc>
          <w:tcPr>
            <w:tcW w:type="dxa" w:w="4320"/>
          </w:tcPr>
          <w:p>
            <w:r/>
            <w:r>
              <w:t>Anchor = Intubation, n (%)</w:t>
            </w:r>
          </w:p>
        </w:tc>
        <w:tc>
          <w:tcPr>
            <w:tcW w:type="dxa" w:w="4320"/>
          </w:tcPr>
          <w:p>
            <w:r/>
            <w:r>
              <w:t>13,834 (82.0)</w:t>
            </w:r>
          </w:p>
        </w:tc>
      </w:tr>
      <w:tr>
        <w:tc>
          <w:tcPr>
            <w:tcW w:type="dxa" w:w="4320"/>
          </w:tcPr>
          <w:p>
            <w:r/>
            <w:r>
              <w:t>Anchor = Surgery start (proxy), n (%)</w:t>
            </w:r>
          </w:p>
        </w:tc>
        <w:tc>
          <w:tcPr>
            <w:tcW w:type="dxa" w:w="4320"/>
          </w:tcPr>
          <w:p>
            <w:r/>
            <w:r>
              <w:t>3,027 (18.0)</w:t>
            </w:r>
          </w:p>
        </w:tc>
      </w:tr>
      <w:tr>
        <w:tc>
          <w:tcPr>
            <w:tcW w:type="dxa" w:w="4320"/>
          </w:tcPr>
          <w:p>
            <w:r/>
            <w:r>
              <w:t>Anchor after OR start, min (median, IQR)</w:t>
            </w:r>
          </w:p>
        </w:tc>
        <w:tc>
          <w:tcPr>
            <w:tcW w:type="dxa" w:w="4320"/>
          </w:tcPr>
          <w:p>
            <w:r/>
            <w:r>
              <w:t>15 (11–24)</w:t>
            </w:r>
          </w:p>
        </w:tc>
      </w:tr>
      <w:tr>
        <w:tc>
          <w:tcPr>
            <w:tcW w:type="dxa" w:w="4320"/>
          </w:tcPr>
          <w:p>
            <w:r/>
            <w:r>
              <w:t>Post-anchor window, min (median, 5th–95th)</w:t>
            </w:r>
          </w:p>
        </w:tc>
        <w:tc>
          <w:tcPr>
            <w:tcW w:type="dxa" w:w="4320"/>
          </w:tcPr>
          <w:p>
            <w:r/>
            <w:r>
              <w:t>147 (49–440)</w:t>
            </w:r>
          </w:p>
        </w:tc>
      </w:tr>
      <w:tr>
        <w:tc>
          <w:tcPr>
            <w:tcW w:type="dxa" w:w="4320"/>
          </w:tcPr>
          <w:p>
            <w:r/>
            <w:r>
              <w:t>Pre-anchor MAP readings in 15-min window (median, IQR)</w:t>
            </w:r>
          </w:p>
        </w:tc>
        <w:tc>
          <w:tcPr>
            <w:tcW w:type="dxa" w:w="4320"/>
          </w:tcPr>
          <w:p>
            <w:r/>
            <w:r>
              <w:t>3 (2–4)</w:t>
            </w:r>
          </w:p>
        </w:tc>
      </w:tr>
      <w:tr>
        <w:tc>
          <w:tcPr>
            <w:tcW w:type="dxa" w:w="4320"/>
          </w:tcPr>
          <w:p>
            <w:r/>
            <w:r>
              <w:t>Pre-anchor mean MAP, mmHg (median, IQR)</w:t>
            </w:r>
          </w:p>
        </w:tc>
        <w:tc>
          <w:tcPr>
            <w:tcW w:type="dxa" w:w="4320"/>
          </w:tcPr>
          <w:p>
            <w:r/>
            <w:r>
              <w:t>87.7 (77.7–98.5)</w:t>
            </w:r>
          </w:p>
        </w:tc>
      </w:tr>
      <w:tr>
        <w:tc>
          <w:tcPr>
            <w:tcW w:type="dxa" w:w="4320"/>
          </w:tcPr>
          <w:p>
            <w:r/>
            <w:r>
              <w:t>Invasive arterial monitoring available, n (%)</w:t>
            </w:r>
          </w:p>
        </w:tc>
        <w:tc>
          <w:tcPr>
            <w:tcW w:type="dxa" w:w="4320"/>
          </w:tcPr>
          <w:p>
            <w:r/>
            <w:r>
              <w:t>2,503 (14.8)</w:t>
            </w:r>
          </w:p>
        </w:tc>
      </w:tr>
      <w:tr>
        <w:tc>
          <w:tcPr>
            <w:tcW w:type="dxa" w:w="4320"/>
          </w:tcPr>
          <w:p>
            <w:r/>
            <w:r>
              <w:t>Ventilation data available, n (%)</w:t>
            </w:r>
          </w:p>
        </w:tc>
        <w:tc>
          <w:tcPr>
            <w:tcW w:type="dxa" w:w="4320"/>
          </w:tcPr>
          <w:p>
            <w:r/>
            <w:r>
              <w:t>4,852 (28.8)</w:t>
            </w:r>
          </w:p>
        </w:tc>
      </w:tr>
      <w:tr>
        <w:tc>
          <w:tcPr>
            <w:tcW w:type="dxa" w:w="4320"/>
          </w:tcPr>
          <w:p>
            <w:r/>
            <w:r>
              <w:t>Pre-anchor laboratory results, n (%)</w:t>
            </w:r>
          </w:p>
        </w:tc>
        <w:tc>
          <w:tcPr>
            <w:tcW w:type="dxa" w:w="4320"/>
          </w:tcPr>
          <w:p>
            <w:r/>
            <w:r>
              <w:t>76 (0.45)</w:t>
            </w:r>
          </w:p>
        </w:tc>
      </w:tr>
      <w:tr>
        <w:tc>
          <w:tcPr>
            <w:tcW w:type="dxa" w:w="4320"/>
          </w:tcPr>
          <w:p>
            <w:r/>
            <w:r>
              <w:t>Pre-anchor fluid/intake-output records, n (%)</w:t>
            </w:r>
          </w:p>
        </w:tc>
        <w:tc>
          <w:tcPr>
            <w:tcW w:type="dxa" w:w="4320"/>
          </w:tcPr>
          <w:p>
            <w:r/>
            <w:r>
              <w:t>2,794 (16.6)</w:t>
            </w:r>
          </w:p>
        </w:tc>
      </w:tr>
      <w:tr>
        <w:tc>
          <w:tcPr>
            <w:tcW w:type="dxa" w:w="4320"/>
          </w:tcPr>
          <w:p>
            <w:r/>
            <w:r>
              <w:t>Surgical group: gastrointestinal,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show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(0.721 vs 0.722) but slightly lower on AUPRC. The full logistic model reached AUPRC 0.301, and the age/sex/BMI baseline 0.233, indicating that the additional predictors contribute meaningfully beyond basic demographics while the absolute gain remains moderate. Figure 3 shows the precision–recall and receiver operating characteristic curves for all four models.</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0.233 (0.205–0.267)</w:t>
            </w:r>
          </w:p>
        </w:tc>
        <w:tc>
          <w:tcPr>
            <w:tcW w:type="dxa" w:w="1080"/>
          </w:tcPr>
          <w:p>
            <w:r/>
            <w:r>
              <w:t>0.624 (0.596–0.650)</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(0.269–0.339)</w:t>
            </w:r>
          </w:p>
        </w:tc>
        <w:tc>
          <w:tcPr>
            <w:tcW w:type="dxa" w:w="1080"/>
          </w:tcPr>
          <w:p>
            <w:r/>
            <w:r>
              <w:t>0.706 (0.681–0.728)</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0.338 (0.299–0.377)</w:t>
            </w:r>
          </w:p>
        </w:tc>
        <w:tc>
          <w:tcPr>
            <w:tcW w:type="dxa" w:w="1080"/>
          </w:tcPr>
          <w:p>
            <w:r/>
            <w:r>
              <w:t>0.721 (0.697–0.743)</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0.239</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0.726 (0.694–0.758)</w:t>
            </w:r>
          </w:p>
        </w:tc>
        <w:tc>
          <w:tcPr>
            <w:tcW w:type="dxa" w:w="1080"/>
          </w:tcPr>
          <w:p>
            <w:r/>
            <w:r>
              <w:t>0.226</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0.336 (0.289–0.390)</w:t>
            </w:r>
          </w:p>
        </w:tc>
        <w:tc>
          <w:tcPr>
            <w:tcW w:type="dxa" w:w="1080"/>
          </w:tcPr>
          <w:p>
            <w:r/>
            <w:r>
              <w:t>0.731 (0.702–0.761)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indicates meaningful miscalibration for which recalibration was required rather than cosmetic. Out-of-fold isotonic recalibration reduced the Brier score to 0.119, with a calibration slope of 0.909 and an intercept of 0.008 on the probability scale (linear-probability model); the logit-scale recalibration slope and intercept are reported alongside. On the temporal split the Brier score improved from 0.194 to 0.122, with slope 0.934 and intercept 0.006 on the probability scale. In both cases the probability-scale slope below 1 indicates that the uncalibrated predictions were slightly over-dispersed, which isotonic recalibration corrected.</w:t>
      </w:r>
    </w:p>
    <w:p>
      <w:r>
        <w:t>In decision curve analysis, the calibrated model's net benefit exceeded that of the "treat none" strategy from the lowest evaluated threshold up to 0.58 on the patient-level split and up to 0.45 on the temporal split; on the temporal split it then turned negative between 0.46 and 0.65 and returned briefly to positive only between 0.66 and 0.73, where the net benefit was nonetheless negligible (≤0.0006), as it was at the top of the patient-level range (0.0001 at 0.58). The "treat all" strategy had a small positive net benefit at the lowest evaluated thresholds (≈0.06 at threshold 0.10) but became strongly negative at higher thresholds (≈−2.1 at 0.73), so it offers no advantage over the model. The absolute net benefit at the decision-relevant thresholds was small (0.078 and 0.085 at threshold 0.10; 0.051 and 0.058 at threshold 0.15, close to the outcome prevalence), so the clinical usefulness shown by the curve is modest. In a benchmark against a logistic model using the pre-anchor mean MAP alone, the full model's incremental net benefit was 0.013 at both thresholds 0.10 and 0.15 (Figure 4).</w:t>
      </w:r>
    </w:p>
    <w:p>
      <w:pPr>
        <w:pStyle w:val="Heading2"/>
      </w:pPr>
      <w:r>
        <w:t>Subgroup performance</w:t>
      </w:r>
    </w:p>
    <w:p>
      <w:r>
        <w:t>Raw subgroup AUPRC varied across strata (Table 5): it was higher in women than men, declined with age, and was highest in underweight patients. However, subgroup AUPRC tracks stratum outcome prevalence closely: across the nine strata the rank correlation between full-cohort stratum prevalence and patient-level subgroup AUPRC was strong (Spearman ρ = 0.88, p = 0.002). Normalising AUPRC by stratum prevalence (the no-skill AUPRC for that stratum) compressed the age gradient to ratios of 1.89, 2.28 and 1.82 across increasing age bands and reversed the sex ordering (men 2.17 vs women 2.07); on the temporal split the normalised ratios were similarly uniform (1.88–2.14 by age band; women 2.14 vs men 1.93). The raw subgroup differences therefore largely reflect stratum base rates rather than differential model skill, and no subgroup-specific claim is made. The underweight stratum is the clearest exception and is explicitly unstable: its raw AUPRC of 0.616 rests on 10 outcome events among 98 patient-level test-set cases (512 cases, 95 events in the full cohort), and the corresponding ratio of 3.32 is inflated by the same small numbers; on the temporal split the AUPRC fell to 0.382.</w:t>
      </w:r>
    </w:p>
    <w:p>
      <w:r>
        <w:rPr>
          <w:b/>
        </w:rPr>
        <w:t>Table 5. AUPRC of XGBoost by subgroup (held-out test set), with stratum prevalence and the AUPRC-to-prevalence ratio (lift over the no-skill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Subgroup</w:t>
            </w:r>
          </w:p>
        </w:tc>
        <w:tc>
          <w:tcPr>
            <w:tcW w:type="dxa" w:w="1234"/>
          </w:tcPr>
          <w:p>
            <w:r>
              <w:rPr>
                <w:b/>
              </w:rPr>
            </w:r>
            <w:r>
              <w:rPr>
                <w:b/>
              </w:rPr>
              <w:t>n (test)</w:t>
            </w:r>
          </w:p>
        </w:tc>
        <w:tc>
          <w:tcPr>
            <w:tcW w:type="dxa" w:w="1234"/>
          </w:tcPr>
          <w:p>
            <w:r>
              <w:rPr>
                <w:b/>
              </w:rPr>
            </w:r>
            <w:r>
              <w:rPr>
                <w:b/>
              </w:rPr>
              <w:t>Stratum prevalence, % (full cohort)</w:t>
            </w:r>
          </w:p>
        </w:tc>
        <w:tc>
          <w:tcPr>
            <w:tcW w:type="dxa" w:w="1234"/>
          </w:tcPr>
          <w:p>
            <w:r>
              <w:rPr>
                <w:b/>
              </w:rPr>
            </w:r>
            <w:r>
              <w:rPr>
                <w:b/>
              </w:rPr>
              <w:t>Patient AUPRC</w:t>
            </w:r>
          </w:p>
        </w:tc>
        <w:tc>
          <w:tcPr>
            <w:tcW w:type="dxa" w:w="1234"/>
          </w:tcPr>
          <w:p>
            <w:r>
              <w:rPr>
                <w:b/>
              </w:rPr>
            </w:r>
            <w:r>
              <w:rPr>
                <w:b/>
              </w:rPr>
              <w:t>AUPRC / prevalence</w:t>
            </w:r>
          </w:p>
        </w:tc>
        <w:tc>
          <w:tcPr>
            <w:tcW w:type="dxa" w:w="1234"/>
          </w:tcPr>
          <w:p>
            <w:r>
              <w:rPr>
                <w:b/>
              </w:rPr>
            </w:r>
            <w:r>
              <w:rPr>
                <w:b/>
              </w:rPr>
              <w:t>Temporal AUPRC</w:t>
            </w:r>
          </w:p>
        </w:tc>
        <w:tc>
          <w:tcPr>
            <w:tcW w:type="dxa" w:w="1234"/>
          </w:tcPr>
          <w:p>
            <w:r>
              <w:rPr>
                <w:b/>
              </w:rPr>
            </w:r>
            <w:r>
              <w:rPr>
                <w:b/>
              </w:rPr>
              <w:t>AUPRC / prevalence</w:t>
            </w:r>
          </w:p>
        </w:tc>
      </w:tr>
      <w:tr>
        <w:tc>
          <w:tcPr>
            <w:tcW w:type="dxa" w:w="1234"/>
          </w:tcPr>
          <w:p>
            <w:r/>
            <w:r>
              <w:t>Men</w:t>
            </w:r>
          </w:p>
        </w:tc>
        <w:tc>
          <w:tcPr>
            <w:tcW w:type="dxa" w:w="1234"/>
          </w:tcPr>
          <w:p>
            <w:r/>
            <w:r>
              <w:t>1,689</w:t>
            </w:r>
          </w:p>
        </w:tc>
        <w:tc>
          <w:tcPr>
            <w:tcW w:type="dxa" w:w="1234"/>
          </w:tcPr>
          <w:p>
            <w:r/>
            <w:r>
              <w:t>13.80</w:t>
            </w:r>
          </w:p>
        </w:tc>
        <w:tc>
          <w:tcPr>
            <w:tcW w:type="dxa" w:w="1234"/>
          </w:tcPr>
          <w:p>
            <w:r/>
            <w:r>
              <w:t>0.299</w:t>
            </w:r>
          </w:p>
        </w:tc>
        <w:tc>
          <w:tcPr>
            <w:tcW w:type="dxa" w:w="1234"/>
          </w:tcPr>
          <w:p>
            <w:r/>
            <w:r>
              <w:t>2.17</w:t>
            </w:r>
          </w:p>
        </w:tc>
        <w:tc>
          <w:tcPr>
            <w:tcW w:type="dxa" w:w="1234"/>
          </w:tcPr>
          <w:p>
            <w:r/>
            <w:r>
              <w:t>0.267</w:t>
            </w:r>
          </w:p>
        </w:tc>
        <w:tc>
          <w:tcPr>
            <w:tcW w:type="dxa" w:w="1234"/>
          </w:tcPr>
          <w:p>
            <w:r/>
            <w:r>
              <w:t>1.93</w:t>
            </w:r>
          </w:p>
        </w:tc>
      </w:tr>
      <w:tr>
        <w:tc>
          <w:tcPr>
            <w:tcW w:type="dxa" w:w="1234"/>
          </w:tcPr>
          <w:p>
            <w:r/>
            <w:r>
              <w:t>Women</w:t>
            </w:r>
          </w:p>
        </w:tc>
        <w:tc>
          <w:tcPr>
            <w:tcW w:type="dxa" w:w="1234"/>
          </w:tcPr>
          <w:p>
            <w:r/>
            <w:r>
              <w:t>1,684</w:t>
            </w:r>
          </w:p>
        </w:tc>
        <w:tc>
          <w:tcPr>
            <w:tcW w:type="dxa" w:w="1234"/>
          </w:tcPr>
          <w:p>
            <w:r/>
            <w:r>
              <w:t>17.27</w:t>
            </w:r>
          </w:p>
        </w:tc>
        <w:tc>
          <w:tcPr>
            <w:tcW w:type="dxa" w:w="1234"/>
          </w:tcPr>
          <w:p>
            <w:r/>
            <w:r>
              <w:t>0.357</w:t>
            </w:r>
          </w:p>
        </w:tc>
        <w:tc>
          <w:tcPr>
            <w:tcW w:type="dxa" w:w="1234"/>
          </w:tcPr>
          <w:p>
            <w:r/>
            <w:r>
              <w:t>2.07</w:t>
            </w:r>
          </w:p>
        </w:tc>
        <w:tc>
          <w:tcPr>
            <w:tcW w:type="dxa" w:w="1234"/>
          </w:tcPr>
          <w:p>
            <w:r/>
            <w:r>
              <w:t>0.370</w:t>
            </w:r>
          </w:p>
        </w:tc>
        <w:tc>
          <w:tcPr>
            <w:tcW w:type="dxa" w:w="1234"/>
          </w:tcPr>
          <w:p>
            <w:r/>
            <w:r>
              <w:t>2.14</w:t>
            </w:r>
          </w:p>
        </w:tc>
      </w:tr>
      <w:tr>
        <w:tc>
          <w:tcPr>
            <w:tcW w:type="dxa" w:w="1234"/>
          </w:tcPr>
          <w:p>
            <w:r/>
            <w:r>
              <w:t>Age &lt; 50 years</w:t>
            </w:r>
          </w:p>
        </w:tc>
        <w:tc>
          <w:tcPr>
            <w:tcW w:type="dxa" w:w="1234"/>
          </w:tcPr>
          <w:p>
            <w:r/>
            <w:r>
              <w:t>1,402</w:t>
            </w:r>
          </w:p>
        </w:tc>
        <w:tc>
          <w:tcPr>
            <w:tcW w:type="dxa" w:w="1234"/>
          </w:tcPr>
          <w:p>
            <w:r/>
            <w:r>
              <w:t>20.09</w:t>
            </w:r>
          </w:p>
        </w:tc>
        <w:tc>
          <w:tcPr>
            <w:tcW w:type="dxa" w:w="1234"/>
          </w:tcPr>
          <w:p>
            <w:r/>
            <w:r>
              <w:t>0.380</w:t>
            </w:r>
          </w:p>
        </w:tc>
        <w:tc>
          <w:tcPr>
            <w:tcW w:type="dxa" w:w="1234"/>
          </w:tcPr>
          <w:p>
            <w:r/>
            <w:r>
              <w:t>1.89</w:t>
            </w:r>
          </w:p>
        </w:tc>
        <w:tc>
          <w:tcPr>
            <w:tcW w:type="dxa" w:w="1234"/>
          </w:tcPr>
          <w:p>
            <w:r/>
            <w:r>
              <w:t>0.377</w:t>
            </w:r>
          </w:p>
        </w:tc>
        <w:tc>
          <w:tcPr>
            <w:tcW w:type="dxa" w:w="1234"/>
          </w:tcPr>
          <w:p>
            <w:r/>
            <w:r>
              <w:t>1.88</w:t>
            </w:r>
          </w:p>
        </w:tc>
      </w:tr>
      <w:tr>
        <w:tc>
          <w:tcPr>
            <w:tcW w:type="dxa" w:w="1234"/>
          </w:tcPr>
          <w:p>
            <w:r/>
            <w:r>
              <w:t>Age 50–64 years</w:t>
            </w:r>
          </w:p>
        </w:tc>
        <w:tc>
          <w:tcPr>
            <w:tcW w:type="dxa" w:w="1234"/>
          </w:tcPr>
          <w:p>
            <w:r/>
            <w:r>
              <w:t>1,044</w:t>
            </w:r>
          </w:p>
        </w:tc>
        <w:tc>
          <w:tcPr>
            <w:tcW w:type="dxa" w:w="1234"/>
          </w:tcPr>
          <w:p>
            <w:r/>
            <w:r>
              <w:t>14.26</w:t>
            </w:r>
          </w:p>
        </w:tc>
        <w:tc>
          <w:tcPr>
            <w:tcW w:type="dxa" w:w="1234"/>
          </w:tcPr>
          <w:p>
            <w:r/>
            <w:r>
              <w:t>0.324</w:t>
            </w:r>
          </w:p>
        </w:tc>
        <w:tc>
          <w:tcPr>
            <w:tcW w:type="dxa" w:w="1234"/>
          </w:tcPr>
          <w:p>
            <w:r/>
            <w:r>
              <w:t>2.28</w:t>
            </w:r>
          </w:p>
        </w:tc>
        <w:tc>
          <w:tcPr>
            <w:tcW w:type="dxa" w:w="1234"/>
          </w:tcPr>
          <w:p>
            <w:r/>
            <w:r>
              <w:t>0.305</w:t>
            </w:r>
          </w:p>
        </w:tc>
        <w:tc>
          <w:tcPr>
            <w:tcW w:type="dxa" w:w="1234"/>
          </w:tcPr>
          <w:p>
            <w:r/>
            <w:r>
              <w:t>2.14</w:t>
            </w:r>
          </w:p>
        </w:tc>
      </w:tr>
      <w:tr>
        <w:tc>
          <w:tcPr>
            <w:tcW w:type="dxa" w:w="1234"/>
          </w:tcPr>
          <w:p>
            <w:r/>
            <w:r>
              <w:t>Age ≥ 65 years</w:t>
            </w:r>
          </w:p>
        </w:tc>
        <w:tc>
          <w:tcPr>
            <w:tcW w:type="dxa" w:w="1234"/>
          </w:tcPr>
          <w:p>
            <w:r/>
            <w:r>
              <w:t>927</w:t>
            </w:r>
          </w:p>
        </w:tc>
        <w:tc>
          <w:tcPr>
            <w:tcW w:type="dxa" w:w="1234"/>
          </w:tcPr>
          <w:p>
            <w:r/>
            <w:r>
              <w:t>10.22</w:t>
            </w:r>
          </w:p>
        </w:tc>
        <w:tc>
          <w:tcPr>
            <w:tcW w:type="dxa" w:w="1234"/>
          </w:tcPr>
          <w:p>
            <w:r/>
            <w:r>
              <w:t>0.186</w:t>
            </w:r>
          </w:p>
        </w:tc>
        <w:tc>
          <w:tcPr>
            <w:tcW w:type="dxa" w:w="1234"/>
          </w:tcPr>
          <w:p>
            <w:r/>
            <w:r>
              <w:t>1.82</w:t>
            </w:r>
          </w:p>
        </w:tc>
        <w:tc>
          <w:tcPr>
            <w:tcW w:type="dxa" w:w="1234"/>
          </w:tcPr>
          <w:p>
            <w:r/>
            <w:r>
              <w:t>0.194</w:t>
            </w:r>
          </w:p>
        </w:tc>
        <w:tc>
          <w:tcPr>
            <w:tcW w:type="dxa" w:w="1234"/>
          </w:tcPr>
          <w:p>
            <w:r/>
            <w:r>
              <w:t>1.90</w:t>
            </w:r>
          </w:p>
        </w:tc>
      </w:tr>
      <w:tr>
        <w:tc>
          <w:tcPr>
            <w:tcW w:type="dxa" w:w="1234"/>
          </w:tcPr>
          <w:p>
            <w:r/>
            <w:r>
              <w:t>BMI &lt; 18.5 kg/m²</w:t>
            </w:r>
          </w:p>
        </w:tc>
        <w:tc>
          <w:tcPr>
            <w:tcW w:type="dxa" w:w="1234"/>
          </w:tcPr>
          <w:p>
            <w:r/>
            <w:r>
              <w:t>98</w:t>
            </w:r>
          </w:p>
        </w:tc>
        <w:tc>
          <w:tcPr>
            <w:tcW w:type="dxa" w:w="1234"/>
          </w:tcPr>
          <w:p>
            <w:r/>
            <w:r>
              <w:t>18.55</w:t>
            </w:r>
          </w:p>
        </w:tc>
        <w:tc>
          <w:tcPr>
            <w:tcW w:type="dxa" w:w="1234"/>
          </w:tcPr>
          <w:p>
            <w:r/>
            <w:r>
              <w:t>0.616</w:t>
            </w:r>
          </w:p>
        </w:tc>
        <w:tc>
          <w:tcPr>
            <w:tcW w:type="dxa" w:w="1234"/>
          </w:tcPr>
          <w:p>
            <w:r/>
            <w:r>
              <w:t>3.32</w:t>
            </w:r>
          </w:p>
        </w:tc>
        <w:tc>
          <w:tcPr>
            <w:tcW w:type="dxa" w:w="1234"/>
          </w:tcPr>
          <w:p>
            <w:r/>
            <w:r>
              <w:t>0.382</w:t>
            </w:r>
          </w:p>
        </w:tc>
        <w:tc>
          <w:tcPr>
            <w:tcW w:type="dxa" w:w="1234"/>
          </w:tcPr>
          <w:p>
            <w:r/>
            <w:r>
              <w:t>2.06</w:t>
            </w:r>
          </w:p>
        </w:tc>
      </w:tr>
      <w:tr>
        <w:tc>
          <w:tcPr>
            <w:tcW w:type="dxa" w:w="1234"/>
          </w:tcPr>
          <w:p>
            <w:r/>
            <w:r>
              <w:t>BMI 18.5–24.9 kg/m²</w:t>
            </w:r>
          </w:p>
        </w:tc>
        <w:tc>
          <w:tcPr>
            <w:tcW w:type="dxa" w:w="1234"/>
          </w:tcPr>
          <w:p>
            <w:r/>
            <w:r>
              <w:t>1,202</w:t>
            </w:r>
          </w:p>
        </w:tc>
        <w:tc>
          <w:tcPr>
            <w:tcW w:type="dxa" w:w="1234"/>
          </w:tcPr>
          <w:p>
            <w:r/>
            <w:r>
              <w:t>18.76</w:t>
            </w:r>
          </w:p>
        </w:tc>
        <w:tc>
          <w:tcPr>
            <w:tcW w:type="dxa" w:w="1234"/>
          </w:tcPr>
          <w:p>
            <w:r/>
            <w:r>
              <w:t>0.392</w:t>
            </w:r>
          </w:p>
        </w:tc>
        <w:tc>
          <w:tcPr>
            <w:tcW w:type="dxa" w:w="1234"/>
          </w:tcPr>
          <w:p>
            <w:r/>
            <w:r>
              <w:t>2.09</w:t>
            </w:r>
          </w:p>
        </w:tc>
        <w:tc>
          <w:tcPr>
            <w:tcW w:type="dxa" w:w="1234"/>
          </w:tcPr>
          <w:p>
            <w:r/>
            <w:r>
              <w:t>0.354</w:t>
            </w:r>
          </w:p>
        </w:tc>
        <w:tc>
          <w:tcPr>
            <w:tcW w:type="dxa" w:w="1234"/>
          </w:tcPr>
          <w:p>
            <w:r/>
            <w:r>
              <w:t>1.89</w:t>
            </w:r>
          </w:p>
        </w:tc>
      </w:tr>
      <w:tr>
        <w:tc>
          <w:tcPr>
            <w:tcW w:type="dxa" w:w="1234"/>
          </w:tcPr>
          <w:p>
            <w:r/>
            <w:r>
              <w:t>BMI 25–29.9 kg/m²</w:t>
            </w:r>
          </w:p>
        </w:tc>
        <w:tc>
          <w:tcPr>
            <w:tcW w:type="dxa" w:w="1234"/>
          </w:tcPr>
          <w:p>
            <w:r/>
            <w:r>
              <w:t>1,064</w:t>
            </w:r>
          </w:p>
        </w:tc>
        <w:tc>
          <w:tcPr>
            <w:tcW w:type="dxa" w:w="1234"/>
          </w:tcPr>
          <w:p>
            <w:r/>
            <w:r>
              <w:t>14.55</w:t>
            </w:r>
          </w:p>
        </w:tc>
        <w:tc>
          <w:tcPr>
            <w:tcW w:type="dxa" w:w="1234"/>
          </w:tcPr>
          <w:p>
            <w:r/>
            <w:r>
              <w:t>0.286</w:t>
            </w:r>
          </w:p>
        </w:tc>
        <w:tc>
          <w:tcPr>
            <w:tcW w:type="dxa" w:w="1234"/>
          </w:tcPr>
          <w:p>
            <w:r/>
            <w:r>
              <w:t>1.96</w:t>
            </w:r>
          </w:p>
        </w:tc>
        <w:tc>
          <w:tcPr>
            <w:tcW w:type="dxa" w:w="1234"/>
          </w:tcPr>
          <w:p>
            <w:r/>
            <w:r>
              <w:t>0.306</w:t>
            </w:r>
          </w:p>
        </w:tc>
        <w:tc>
          <w:tcPr>
            <w:tcW w:type="dxa" w:w="1234"/>
          </w:tcPr>
          <w:p>
            <w:r/>
            <w:r>
              <w:t>2.10</w:t>
            </w:r>
          </w:p>
        </w:tc>
      </w:tr>
      <w:tr>
        <w:tc>
          <w:tcPr>
            <w:tcW w:type="dxa" w:w="1234"/>
          </w:tcPr>
          <w:p>
            <w:r/>
            <w:r>
              <w:t>BMI ≥ 30 kg/m²</w:t>
            </w:r>
          </w:p>
        </w:tc>
        <w:tc>
          <w:tcPr>
            <w:tcW w:type="dxa" w:w="1234"/>
          </w:tcPr>
          <w:p>
            <w:r/>
            <w:r>
              <w:t>977</w:t>
            </w:r>
          </w:p>
        </w:tc>
        <w:tc>
          <w:tcPr>
            <w:tcW w:type="dxa" w:w="1234"/>
          </w:tcPr>
          <w:p>
            <w:r/>
            <w:r>
              <w:t>12.45</w:t>
            </w:r>
          </w:p>
        </w:tc>
        <w:tc>
          <w:tcPr>
            <w:tcW w:type="dxa" w:w="1234"/>
          </w:tcPr>
          <w:p>
            <w:r/>
            <w:r>
              <w:t>0.257</w:t>
            </w:r>
          </w:p>
        </w:tc>
        <w:tc>
          <w:tcPr>
            <w:tcW w:type="dxa" w:w="1234"/>
          </w:tcPr>
          <w:p>
            <w:r/>
            <w:r>
              <w:t>2.07</w:t>
            </w:r>
          </w:p>
        </w:tc>
        <w:tc>
          <w:tcPr>
            <w:tcW w:type="dxa" w:w="1234"/>
          </w:tcPr>
          <w:p>
            <w:r/>
            <w:r>
              <w:t>0.330</w:t>
            </w:r>
          </w:p>
        </w:tc>
        <w:tc>
          <w:tcPr>
            <w:tcW w:type="dxa" w:w="1234"/>
          </w:tcPr>
          <w:p>
            <w:r/>
            <w:r>
              <w:t>2.65</w:t>
            </w:r>
          </w:p>
        </w:tc>
      </w:tr>
    </w:tbl>
    <w:p/>
    <w:p>
      <w:r>
        <w:t>n denotes the number of cases in the held-out test set on which each subgroup AUPRC was computed (patient-level split: 3,373; temporal split: 1,818). Stratum prevalence is the D1 prevalence of the stratum in the full analysis cohort (n = 16,861), which estimates the stratum base rate more stably than the smaller held-out sets; under no skill the AUPRC of a stratum equals its prevalence, so the ratio is the lift over that baseline. Subgroup AUPRCs are exploratory given the reduced event counts within strata: for example, the underweight stratum comprised 98 patient-level test-set cases with 10 events (512 cases with 95 events in the full cohort). Thirty-two test-set cases had missing BMI and contribute to no BMI stratum.</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 Figure 5 shows the 25 highest-gain predictors.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transportability check</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0.744 (95% CI 0.705–0.778), numerically above the internal patient-level value of 0.698 and the temporal value of 0.710 for the same 53-feature model, although the confidence intervals overlap (0.705–0.778 vs 0.673–0.723 and 0.679–0.740), so the difference should be read as consistency rather than superiority. The external AUPRC of 0.158 (0.126–0.202)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0.36 against an observed prevalence of 0.057 (external Brier score 0.176), indicating that the model would require local recalibration before the predicted probabilities could be used directly. These results are summarised in Figure 6 and Table 7.</w:t>
      </w:r>
    </w:p>
    <w:p>
      <w:r>
        <w:rPr>
          <w:b/>
        </w:rPr>
        <w:t>Table 7. External transportability check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16.01</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0.158 (0.126–0.202)</w:t>
            </w:r>
          </w:p>
        </w:tc>
        <w:tc>
          <w:tcPr>
            <w:tcW w:type="dxa" w:w="1080"/>
          </w:tcPr>
          <w:p>
            <w:r/>
            <w:r>
              <w:t>0.744 (0.705–0.778)</w:t>
            </w:r>
          </w:p>
        </w:tc>
        <w:tc>
          <w:tcPr>
            <w:tcW w:type="dxa" w:w="1080"/>
          </w:tcPr>
          <w:p>
            <w:r/>
            <w:r>
              <w:t>0.176</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2"/>
      </w:pPr>
      <w:r>
        <w:t>Sensitivity analyses</w:t>
      </w:r>
    </w:p>
    <w:p>
      <w:r>
        <w:t>We tested the main findings against eight perturbations; the results are in Table 8.</w:t>
      </w:r>
    </w:p>
    <w:p>
      <w:r>
        <w:rPr>
          <w:b/>
        </w:rPr>
        <w:t>S1 – Restricted evaluable cohort.</w:t>
      </w:r>
      <w:r>
        <w:t xml:space="preserve"> Excluding the 1,496 negative-by-construction (NBC) cases left 15,365 cases with at least 10 post-anchor MAP measurements (conditional prevalence 17.06%). On this subset XGBoost reached AUPRC 0.401 (95% CI 0.358–0.444) and AUROC 0.735 (0.710–0.757) on the patient-level split and AUPRC 0.367 (0.318–0.425) and AUROC 0.739 (0.709–0.769) on the temporal split – higher than the full-cohort values, confirming that the apparent precision gain reflects removal of the NBC cases rather than stronger physiological signal.</w:t>
      </w:r>
    </w:p>
    <w:p>
      <w:r>
        <w:rPr>
          <w:b/>
        </w:rPr>
        <w:t>S2 – Half-open anchor window.</w:t>
      </w:r>
      <w:r>
        <w:t xml:space="preserve"> Repeating the main analysis with the anchor minute excluded from the feature window (strict `&lt;anchor`) gave patient-level AUPRC 0.342 (0.302–0.380) and AUROC 0.715 (0.690–0.737) and temporal AUPRC 0.334 (0.286–0.388) and AUROC 0.723 (0.693–0.753), essentially unchanged from the closed-window main results, so inclusion of the anchor minute does not drive the findings.</w:t>
      </w:r>
    </w:p>
    <w:p>
      <w:r>
        <w:rPr>
          <w:b/>
        </w:rPr>
        <w:t>S3 – Externally re-derived time-based labels.</w:t>
      </w:r>
      <w:r>
        <w:t xml:space="preserve"> Recomputing the external D1 outcome on VitalDB on a common one-minute grid with absolute-time thresholds (already-transported 53-feature model, unrefitted) yielded AUROC 0.744 (0.705–0.778) and AUPRC 0.158 (0.126–0.202) under the sampling-based definition (D1_samples, prevalence 5.73%) – numerically consistent with the development-label external value, which indicates that the transportability signal is not an artefact of the development label rule.</w:t>
      </w:r>
    </w:p>
    <w:p>
      <w:r>
        <w:rPr>
          <w:b/>
        </w:rPr>
        <w:t>S4 – External recalibration.</w:t>
      </w:r>
      <w:r>
        <w:t xml:space="preserve"> Fitting a logistic recalibration to the transported predictions on VitalDB (logit-scale slope 0.77, intercept -2.61; calibration-in-the-large 0.30) shifted the mean predicted risk from 0.36 towards the observed prevalence of 0.057 and improved the Brier score, showing that local recalibration restores probability accuracy.</w:t>
      </w:r>
    </w:p>
    <w:p>
      <w:r>
        <w:rPr>
          <w:b/>
        </w:rPr>
        <w:t>S5 – External funnel.</w:t>
      </w:r>
      <w:r>
        <w:t xml:space="preserve"> Of 6,388 VitalDB cases with recorded vitals, 3,735 had a valid arterial MAP track and operation timing; 214 had zero post-anchor MAP and were negative by construction, coinciding exactly with the 214 D1-positive cases (disclosed for transparency).</w:t>
      </w:r>
    </w:p>
    <w:p>
      <w:r>
        <w:rPr>
          <w:b/>
        </w:rPr>
        <w:t>S6 – Physiological-feature subset.</w:t>
      </w:r>
      <w:r>
        <w:t xml:space="preserve"> Restricting the transported model to the 39 physiological value-domain features (dropping cadence counters and the frozen context features) gave external AUROC 0.713 (0.670–0.750) and AUPRC 0.151 (0.119–0.196) – only marginally below the 53-feature value, so the dropped features contributed little.</w:t>
      </w:r>
    </w:p>
    <w:p>
      <w:r>
        <w:rPr>
          <w:b/>
        </w:rPr>
        <w:t>S7 – Anchor-minute label overlap.</w:t>
      </w:r>
      <w:r>
        <w:t xml:space="preserve"> In the primary design both windows are closed at the anchor (the feature window `[anchor-15, anchor]` and the label window `[anchor, OR_end]` share the anchor minute); 99.0% of cases have a MAP reading exactly at the anchor. Re-deriving labels with the strictly open label window `(anchor, OR_end]` flipped only 62 positive to negative and 35 negative to positive (net -27; prevalence 15.39% vs 15.55%), confirming the anchor minute belongs to the feature side and its shared inclusion does not materially affect labels.</w:t>
      </w:r>
    </w:p>
    <w:p>
      <w:r>
        <w:rPr>
          <w:b/>
        </w:rPr>
        <w:t>S8 – Case-minute recording rate.</w:t>
      </w:r>
      <w:r>
        <w:t xml:space="preserve"> The fraction of surgical minutes with at least one recorded MAP (case-minute recording rate) was 19.6%, corroborating the 19.89% row-level MAP density and the sparse-sampling limitation in Limitation 9.</w:t>
      </w:r>
    </w:p>
    <w:p>
      <w:r>
        <w:rPr>
          <w:b/>
        </w:rPr>
        <w:t>Table 8. Sensitivity analyses of the MOVER/SIS hypotension model (XGBoost unless noted).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Analysis</w:t>
            </w:r>
          </w:p>
        </w:tc>
        <w:tc>
          <w:tcPr>
            <w:tcW w:type="dxa" w:w="1440"/>
          </w:tcPr>
          <w:p>
            <w:r>
              <w:rPr>
                <w:b/>
              </w:rPr>
            </w:r>
            <w:r>
              <w:rPr>
                <w:b/>
              </w:rPr>
              <w:t>Split</w:t>
            </w:r>
          </w:p>
        </w:tc>
        <w:tc>
          <w:tcPr>
            <w:tcW w:type="dxa" w:w="1440"/>
          </w:tcPr>
          <w:p>
            <w:r>
              <w:rPr>
                <w:b/>
              </w:rPr>
            </w:r>
            <w:r>
              <w:rPr>
                <w:b/>
              </w:rPr>
              <w:t>n</w:t>
            </w:r>
          </w:p>
        </w:tc>
        <w:tc>
          <w:tcPr>
            <w:tcW w:type="dxa" w:w="1440"/>
          </w:tcPr>
          <w:p>
            <w:r>
              <w:rPr>
                <w:b/>
              </w:rPr>
            </w:r>
            <w:r>
              <w:rPr>
                <w:b/>
              </w:rPr>
              <w:t>Prevalence (%)</w:t>
            </w:r>
          </w:p>
        </w:tc>
        <w:tc>
          <w:tcPr>
            <w:tcW w:type="dxa" w:w="1440"/>
          </w:tcPr>
          <w:p>
            <w:r>
              <w:rPr>
                <w:b/>
              </w:rPr>
            </w:r>
            <w:r>
              <w:rPr>
                <w:b/>
              </w:rPr>
              <w:t>AUPRC (95% CI)</w:t>
            </w:r>
          </w:p>
        </w:tc>
        <w:tc>
          <w:tcPr>
            <w:tcW w:type="dxa" w:w="1440"/>
          </w:tcPr>
          <w:p>
            <w:r>
              <w:rPr>
                <w:b/>
              </w:rPr>
            </w:r>
            <w:r>
              <w:rPr>
                <w:b/>
              </w:rPr>
              <w:t>AUROC (95% CI)</w:t>
            </w:r>
          </w:p>
        </w:tc>
      </w:tr>
      <w:tr>
        <w:tc>
          <w:tcPr>
            <w:tcW w:type="dxa" w:w="1440"/>
          </w:tcPr>
          <w:p>
            <w:r/>
            <w:r>
              <w:t>S1 Restricted cohort</w:t>
            </w:r>
          </w:p>
        </w:tc>
        <w:tc>
          <w:tcPr>
            <w:tcW w:type="dxa" w:w="1440"/>
          </w:tcPr>
          <w:p>
            <w:r/>
            <w:r>
              <w:t>Patient</w:t>
            </w:r>
          </w:p>
        </w:tc>
        <w:tc>
          <w:tcPr>
            <w:tcW w:type="dxa" w:w="1440"/>
          </w:tcPr>
          <w:p>
            <w:r/>
            <w:r>
              <w:t>15,365</w:t>
            </w:r>
          </w:p>
        </w:tc>
        <w:tc>
          <w:tcPr>
            <w:tcW w:type="dxa" w:w="1440"/>
          </w:tcPr>
          <w:p>
            <w:r/>
            <w:r>
              <w:t>17.06</w:t>
            </w:r>
          </w:p>
        </w:tc>
        <w:tc>
          <w:tcPr>
            <w:tcW w:type="dxa" w:w="1440"/>
          </w:tcPr>
          <w:p>
            <w:r/>
            <w:r>
              <w:t>0.401 (0.358–0.444)</w:t>
            </w:r>
          </w:p>
        </w:tc>
        <w:tc>
          <w:tcPr>
            <w:tcW w:type="dxa" w:w="1440"/>
          </w:tcPr>
          <w:p>
            <w:r/>
            <w:r>
              <w:t>0.735 (0.710–0.757)</w:t>
            </w:r>
          </w:p>
        </w:tc>
      </w:tr>
      <w:tr>
        <w:tc>
          <w:tcPr>
            <w:tcW w:type="dxa" w:w="1440"/>
          </w:tcPr>
          <w:p>
            <w:r/>
            <w:r>
              <w:t>S1 Restricted cohort</w:t>
            </w:r>
          </w:p>
        </w:tc>
        <w:tc>
          <w:tcPr>
            <w:tcW w:type="dxa" w:w="1440"/>
          </w:tcPr>
          <w:p>
            <w:r/>
            <w:r>
              <w:t>Temporal</w:t>
            </w:r>
          </w:p>
        </w:tc>
        <w:tc>
          <w:tcPr>
            <w:tcW w:type="dxa" w:w="1440"/>
          </w:tcPr>
          <w:p>
            <w:r/>
            <w:r>
              <w:t>15,365</w:t>
            </w:r>
          </w:p>
        </w:tc>
        <w:tc>
          <w:tcPr>
            <w:tcW w:type="dxa" w:w="1440"/>
          </w:tcPr>
          <w:p>
            <w:r/>
            <w:r>
              <w:t>17.06</w:t>
            </w:r>
          </w:p>
        </w:tc>
        <w:tc>
          <w:tcPr>
            <w:tcW w:type="dxa" w:w="1440"/>
          </w:tcPr>
          <w:p>
            <w:r/>
            <w:r>
              <w:t>0.367 (0.318–0.425)</w:t>
            </w:r>
          </w:p>
        </w:tc>
        <w:tc>
          <w:tcPr>
            <w:tcW w:type="dxa" w:w="1440"/>
          </w:tcPr>
          <w:p>
            <w:r/>
            <w:r>
              <w:t>0.739 (0.709–0.769)</w:t>
            </w:r>
          </w:p>
        </w:tc>
      </w:tr>
      <w:tr>
        <w:tc>
          <w:tcPr>
            <w:tcW w:type="dxa" w:w="1440"/>
          </w:tcPr>
          <w:p>
            <w:r/>
            <w:r>
              <w:t>S2 Half-open window</w:t>
            </w:r>
          </w:p>
        </w:tc>
        <w:tc>
          <w:tcPr>
            <w:tcW w:type="dxa" w:w="1440"/>
          </w:tcPr>
          <w:p>
            <w:r/>
            <w:r>
              <w:t>Patient</w:t>
            </w:r>
          </w:p>
        </w:tc>
        <w:tc>
          <w:tcPr>
            <w:tcW w:type="dxa" w:w="1440"/>
          </w:tcPr>
          <w:p>
            <w:r/>
            <w:r>
              <w:t>16,861</w:t>
            </w:r>
          </w:p>
        </w:tc>
        <w:tc>
          <w:tcPr>
            <w:tcW w:type="dxa" w:w="1440"/>
          </w:tcPr>
          <w:p>
            <w:r/>
            <w:r>
              <w:t>15.55</w:t>
            </w:r>
          </w:p>
        </w:tc>
        <w:tc>
          <w:tcPr>
            <w:tcW w:type="dxa" w:w="1440"/>
          </w:tcPr>
          <w:p>
            <w:r/>
            <w:r>
              <w:t>0.342 (0.302–0.380)</w:t>
            </w:r>
          </w:p>
        </w:tc>
        <w:tc>
          <w:tcPr>
            <w:tcW w:type="dxa" w:w="1440"/>
          </w:tcPr>
          <w:p>
            <w:r/>
            <w:r>
              <w:t>0.715 (0.690–0.737)</w:t>
            </w:r>
          </w:p>
        </w:tc>
      </w:tr>
      <w:tr>
        <w:tc>
          <w:tcPr>
            <w:tcW w:type="dxa" w:w="1440"/>
          </w:tcPr>
          <w:p>
            <w:r/>
            <w:r>
              <w:t>S2 Half-open window</w:t>
            </w:r>
          </w:p>
        </w:tc>
        <w:tc>
          <w:tcPr>
            <w:tcW w:type="dxa" w:w="1440"/>
          </w:tcPr>
          <w:p>
            <w:r/>
            <w:r>
              <w:t>Temporal</w:t>
            </w:r>
          </w:p>
        </w:tc>
        <w:tc>
          <w:tcPr>
            <w:tcW w:type="dxa" w:w="1440"/>
          </w:tcPr>
          <w:p>
            <w:r/>
            <w:r>
              <w:t>16,861</w:t>
            </w:r>
          </w:p>
        </w:tc>
        <w:tc>
          <w:tcPr>
            <w:tcW w:type="dxa" w:w="1440"/>
          </w:tcPr>
          <w:p>
            <w:r/>
            <w:r>
              <w:t>15.55</w:t>
            </w:r>
          </w:p>
        </w:tc>
        <w:tc>
          <w:tcPr>
            <w:tcW w:type="dxa" w:w="1440"/>
          </w:tcPr>
          <w:p>
            <w:r/>
            <w:r>
              <w:t>0.334 (0.286–0.388)</w:t>
            </w:r>
          </w:p>
        </w:tc>
        <w:tc>
          <w:tcPr>
            <w:tcW w:type="dxa" w:w="1440"/>
          </w:tcPr>
          <w:p>
            <w:r/>
            <w:r>
              <w:t>0.723 (0.693–0.753)</w:t>
            </w:r>
          </w:p>
        </w:tc>
      </w:tr>
      <w:tr>
        <w:tc>
          <w:tcPr>
            <w:tcW w:type="dxa" w:w="1440"/>
          </w:tcPr>
          <w:p>
            <w:r/>
            <w:r>
              <w:t>S3 External labels (D1_samples)</w:t>
            </w:r>
          </w:p>
        </w:tc>
        <w:tc>
          <w:tcPr>
            <w:tcW w:type="dxa" w:w="1440"/>
          </w:tcPr>
          <w:p>
            <w:r/>
            <w:r>
              <w:t>-</w:t>
            </w:r>
          </w:p>
        </w:tc>
        <w:tc>
          <w:tcPr>
            <w:tcW w:type="dxa" w:w="1440"/>
          </w:tcPr>
          <w:p>
            <w:r/>
            <w:r>
              <w:t>3,735</w:t>
            </w:r>
          </w:p>
        </w:tc>
        <w:tc>
          <w:tcPr>
            <w:tcW w:type="dxa" w:w="1440"/>
          </w:tcPr>
          <w:p>
            <w:r/>
            <w:r>
              <w:t>5.73</w:t>
            </w:r>
          </w:p>
        </w:tc>
        <w:tc>
          <w:tcPr>
            <w:tcW w:type="dxa" w:w="1440"/>
          </w:tcPr>
          <w:p>
            <w:r/>
            <w:r>
              <w:t>0.158 (0.126–0.202)</w:t>
            </w:r>
          </w:p>
        </w:tc>
        <w:tc>
          <w:tcPr>
            <w:tcW w:type="dxa" w:w="1440"/>
          </w:tcPr>
          <w:p>
            <w:r/>
            <w:r>
              <w:t>0.744 (0.705–0.778)</w:t>
            </w:r>
          </w:p>
        </w:tc>
      </w:tr>
      <w:tr>
        <w:tc>
          <w:tcPr>
            <w:tcW w:type="dxa" w:w="1440"/>
          </w:tcPr>
          <w:p>
            <w:r/>
            <w:r>
              <w:t>S6 Physiological subset (external)</w:t>
            </w:r>
          </w:p>
        </w:tc>
        <w:tc>
          <w:tcPr>
            <w:tcW w:type="dxa" w:w="1440"/>
          </w:tcPr>
          <w:p>
            <w:r/>
            <w:r>
              <w:t>-</w:t>
            </w:r>
          </w:p>
        </w:tc>
        <w:tc>
          <w:tcPr>
            <w:tcW w:type="dxa" w:w="1440"/>
          </w:tcPr>
          <w:p>
            <w:r/>
            <w:r>
              <w:t>3,735</w:t>
            </w:r>
          </w:p>
        </w:tc>
        <w:tc>
          <w:tcPr>
            <w:tcW w:type="dxa" w:w="1440"/>
          </w:tcPr>
          <w:p>
            <w:r/>
            <w:r>
              <w:t>5.73</w:t>
            </w:r>
          </w:p>
        </w:tc>
        <w:tc>
          <w:tcPr>
            <w:tcW w:type="dxa" w:w="1440"/>
          </w:tcPr>
          <w:p>
            <w:r/>
            <w:r>
              <w:t>0.151 (0.119–0.196)</w:t>
            </w:r>
          </w:p>
        </w:tc>
        <w:tc>
          <w:tcPr>
            <w:tcW w:type="dxa" w:w="1440"/>
          </w:tcPr>
          <w:p>
            <w:r/>
            <w:r>
              <w:t>0.713 (0.670–0.750)</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intraoperative hypotensive exposure over the remainder of surgery, with closely similar performance under temporal validation and good calibration after isotonic recalibration. Discrimination was therefore approximately 2.2-fold (2.23×) better than the no-skill baseline on the precision–recall scale (modest, but clearly not null), and the decision curve showed the model's net benefit over both default strategies was positive across most of the evaluated threshold range but very small in absolute terms (below 0.01 at the decision-relevant thresholds of 0.10–0.30, and at most 9.9×10⁻⁵ at 0.58 on the patient-level split); on the temporal split net benefit was positive up to 0.45, then negative except for a narrow interval between 0.66 and 0.73, where its magnitude is negligible.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Raw AUPRC declined with age and was higher in women, but both patterns tracked stratum outcome prevalence rather than differential model skill: normalising by stratum prevalence reversed the sex ordering and compressed the age gradient (Table 5). The patterns remain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[12],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[12].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models developed on MOVER itself [13] and external-validation studies in related surgical populations [14]. We now provide such an external transportability check ourselves, in VitalDB, an independent resource with a different recording architecture; the model's ranking ability transferred (external AUROC 0.744, in the same range as and overlapping the confidence interval of the internal 0.698–0.710 for the same 53-feature model) while absolute probabilities did not and would require local recalibration,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exposure-fraction outcomes are feasible on sparse data in a way that sustained-duration outcomes are not. Sustained definitions at conventional thresholds identified fewer than 60 cases here, which is a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the interval from operation start to the prediction anchor,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(0.744) indicates that ranking transferred, although its confidence interval overlaps the internal interval. Predicted probabilities were not calibrated to the external cohort (mean predicted risk 0.36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18.0% of cases the anchor was Surgery start rather than intubation, because no intubation event was recorded. This is not merely a labelling nuisance: the anchor source was among the strongest predictors (anchor is intubation ranked third by gain), so the proxy cohort (cases without a recorded intubation, which may systematically differ, for example monitored anaesthesia care or non-intubated procedures)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1,332 with 1–9 readings and 164 with no post-anchor MAP recording at all. This is a spectrum effect: the excluded cases are exactly those with the sparsest monitoring, and they are therefore not missing at random. A visible proxy supports the mechanism: 42.9% of the excluded cases had a Surgery-start anchor versus 18.0% overall, and the anchor-source indicator is among the strongest predictors, so the model can score these cases low for reasons unrelated to physiology. The conditional prevalence among cases with at least 10 measurements was 17.1% (2,622 of 15,365); a sensitivity analysis restricted to those 15,365 evaluable cases is reported in the Results and shows that XGBoost discrimination improved to AUPRC 0.401 (95% CI 0.358–0.444) and AUROC 0.735 (0.710–0.757) – an apparent gain driven by removal of the negative-by-construction cases rather than by added physiological signal.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Outcome-label validity under sparse sampling.</w:t>
      </w:r>
      <w:r>
        <w:t xml:space="preserve"> D1 is an exposure-fraction definition that treats each recorded MAP as representative of the true intraoperative pressure; under the observed 19.89% row-level recording density (case-minute MAP recording rate 19.6%), with 96.2% of non-null segments consisting of isolated single minutes, recorded MAP is not a random sample of the surgical period. Cases monitored only during stable intervals could be under-counted as burden-free, so the reported prevalence and performance may be sensitive to which minutes were recorded. We state this as a structural limitation of deriving burden from intermittent non-invasive measurement rather than continuous arterial pressure. 10. </w:t>
      </w:r>
      <w:r>
        <w:rPr>
          <w:b/>
        </w:rPr>
        <w:t>External discrimination may be inflated by recording density.</w:t>
      </w:r>
      <w:r>
        <w:t xml:space="preserve"> VitalDB records continuous arterial pressure, which both defines the outcome and supplies the MAP predictors far more densely and cleanly than the intermittent non-invasive measurement in MOVER/SIS; blood-pressure autocorrelation under dense sampling can inflate apparent ranking discrimination relative to the development cohort. The external AUROC of 0.744 should therefore be read as evidence that ranking transferred under a denser measurement regime, not as evidence of intrinsically better discrimination than the development cohort. 11.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 12. </w:t>
      </w:r>
      <w:r>
        <w:rPr>
          <w:b/>
        </w:rPr>
        <w:t>Anchor placement is imprecise for a minority of cases.</w:t>
      </w:r>
      <w:r>
        <w:t xml:space="preserve"> The Intubation anchor occurred a median of 15 minutes after OR start, but the distribution has a long right tail: 325 cases had an anchor more than 60 minutes after OR start (maximum 751 minutes, about 12.5 hours), so for those cases the "pre-anchor" window describes mid- or post-operative physiology rather than induction. In addition, a small number of clinically implausible events were recorded before the anchor (four extubations, one cardiopulmonary resuscitation and three head-frame applications, at lags up to 2,853 minutes), which we retained rather than silently deleted; they affect the pre-anchor event counters only. 13. </w:t>
      </w:r>
      <w:r>
        <w:rPr>
          <w:b/>
        </w:rPr>
        <w:t>The transported feature set includes features with no external support.</w:t>
      </w:r>
      <w:r>
        <w:t xml:space="preserve"> Four of the 53 transported features are recording-cadence counters whose VitalDB values lie far outside the MOVER range (median MAP-reading count 450 versus 3; minutes since last MAP reading 0.02 versus 1.0), and one contextual feature (anchor is intubation) is frozen at zero in VitalDB. A sensitivity analysis restricting the transported model to the 39 physiological value-domain features is reported in the Results; the external discrimination under that restriction was AUROC 0.713 (95% CI 0.670–0.750) and AUPRC 0.151 (0.119–0.196) – only marginally below the 53-feature shipped value (0.744/0.158), which indicates that the dropped recording-cadence and context features contributed little. 14. </w:t>
      </w:r>
      <w:r>
        <w:rPr>
          <w:b/>
        </w:rPr>
        <w:t>The external outcome is not the development outcome.</w:t>
      </w:r>
      <w:r>
        <w:t xml:space="preserve"> Because VitalDB samples arterial pressure far more densely, the same proportion-based rule implies a much larger absolute exposure for a positive external label (about 44 cumulative minutes below 65 mmHg at the median recording density versus 9 readings in MOVER), so the external prevalence of 5.73% is not directly comparable with the internal 15.55%. A sensitivity analysis re-deriving the external labels on a common one-minute grid with absolute-time thresholds is reported in the Results and showed the transported model still discriminated comparably (D1_samples: AUROC 0.744, AUPRC 0.158), which indicates that the transportability signal is not an artefact of the development label definition.</w:t>
      </w:r>
    </w:p>
    <w:p>
      <w:pPr>
        <w:pStyle w:val="Heading2"/>
      </w:pPr>
      <w:r>
        <w:t>What this study adds</w:t>
      </w:r>
    </w:p>
    <w:p>
      <w:r>
        <w:t>Beyond the modest absolute performance, this study contributes five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no used record postdating its anchor (maximum interval 0.00 minutes; no unparseable timestamps), and the one residual boundary overlap, a MAP reading recorded exactly at the anchor minute that belongs to both the feature and the outcome window, is quantified and shown not to change the conclusions.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transportability check on an independent resource.</w:t>
      </w:r>
      <w:r>
        <w:t xml:space="preserve"> In VitalDB the model was applied unchanged with its anchor adapted to operation start; discrimination transferred (AUROC 0.744, in the same range as and overlapping the confidence interval of the internal 0.698–0.710 for the same feature set) while calibration did not, isolating exactly what does and does not generalise and supplying a concrete deployment requirement (local recalibration on the deployment cohort's own anchor and recording regime) rather than an abstract "needs external validation" caveat. The differing endpoint definitions, recording densities and feature-space support between the two cohorts are quantified rather than glossed over.</w:t>
      </w:r>
    </w:p>
    <w:p>
      <w:pPr>
        <w:pStyle w:val="Heading1"/>
      </w:pPr>
      <w:r>
        <w:t>Conclusions</w:t>
      </w:r>
    </w:p>
    <w:p>
      <w:r>
        <w:t>A fully leakage-audited, gradient-boosted model using only data available at the anaesthesia induction anchor achieved modest but non-null discrimination (AUPRC 0.347, AUROC 0.722) for intraoperative hypotensive exposure, reproduced under temporal validation and well calibrated after isotonic recalibration. In an independent external cohort (VitalDB, n = 3,735) the same model retained discrimination (AUROC 0.744) without refitting. This is a transportability check rather than a like-for-like validation, because the external anchor (operation start) postdates induction and the external outcome is defined on denser arterial sampling.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on the deployment cohort's own anchor and recording regime,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ASA, American Society of Anesthesiologists; AUROC, area under the receiver operating characteristic curve; AUPRC, area under the precision–recall curve; BMI, body mass index;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t>Clinical trial number: not applicable.</w:t>
      </w:r>
    </w:p>
    <w:p>
      <w:r>
        <w:rPr>
          <w:b/>
        </w:rPr>
        <w:t>Availability of data and materials.</w:t>
      </w:r>
      <w:r>
        <w:t xml:space="preserve"> The development cohort was drawn from MOVER (University of California Irvine), which is available to qualified researchers upon signature of a data use agreement (https://mover.ics.uci.edu/; UCI Machine Learning Repository, https://doi.org/10.24432/C5VS5G). The external cohort was drawn from VitalDB (https://vitaldb.net/), which is publicly accessible upon free registration and is described in Lee et al. (2022), doi:10.1038/s41597-022-01411-5. Patient-level data are not redistributed by the author, as the MOVER data use agreement does not permit this. All analysis code, the configuration file, the audit trail, and the aggregate result files from which every number in this manuscript is generated are available at https://github.com/yyx-4113/mover-sis-ioh-prediction/releases/tag/v1.0.1 (v1.0.1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Pedregosa F, Varoquaux G, Gramfort A, et al. Scikit-learn: machine learning in Python. J Mach Learn Res. 2011;12:2825–2830. 10. Chen T, Guestrin C. XGBoost: a scalable tree boosting system. In: Proceedings of the 22nd ACM SIGKDD International Conference on Knowledge Discovery and Data Mining. 2016:785–794. doi:10.1145/2939672.2939785. 11. Ke G, Meng Q, Finley T, et al. LightGBM: a highly efficient gradient boosting decision tree. In: Advances in Neural Information Processing Systems 30. 2017:3146–3154. 12. Oyarzun R. The dynamics of arterial pressure itself predict intraoperative hypotension beyond its current value: an interpretable additive model validated in 3,069 external patients under a selection-bias-resistant protocol. medRxiv. 2026. doi:10.1101/2026.08.26.26361468. 13. Chiu C, Braehler MR, Donovan AL, Butte AJ, Pirracchio R, Bishara AM. Development of a machine learning-derived model to predict unplanned ICU admissions after major non-cardiac surgery. BMC Anesthesiol. 2025;25:351. doi:10.1186/s12871-025-03195-8. 14. Cheun H, Ahn JH, Park JW, et al. Development and external validation of a machine learning model for predicting severe immediate postoperative complications in adults undergoing cardiac surgery. BMC Anesthesiol. 2026;26:334. doi:10.1186/s12871-026-03841-9. 15. Walsh M, Devereaux PJ, Garg AX, et al. Relationship between intraoperative mean arterial pressure and clinical outcomes after noncardiac surgery: toward an empirical definition of hypotension. Anesthesiology. 2013;119(3):507–515. doi:10.1097/ALN.0b013e3182a10e26. 16. Sun LY, Wijeysundera DN, Tait GA, Beattie WS. Association of intraoperative hypotension with acute kidney injury after elective noncardiac surgery. Anesthesiology. 2015;123(3):515–523. doi:10.1097/ALN.0000000000000765. 17. Saugel B, Fletcher N, Gan TJ, Grocott MPW, Myles PS, Sessler DI, et al. PeriOperative Quality Initiative (POQI) international consensus statement on perioperative arterial pressure management. Br J Anaesth. 2024;133(2):264–276. doi:10.1016/j.bja.2024.04.046. 18. Lee HC, Park Y, Yoon SB, Yang SM, Park D, Jung CW. VitalDB, a high-fidelity multi-parameter vital signs database in surgical patients. Sci Data. 2022 Jun 8;9(1):279. doi:10.1038/s41597-022-01411-5. PMID: 35676300; PMCID: PMC9178032. 19. Hatib F, Jian Z, Buddi S, Lee C, Settels J, Sibert K, et al. Machine-learning algorithm to predict hypotension based on high-fidelity arterial pressure waveform analysis. Anesthesiology. 2018;129(4):663–674. doi:10.1097/ALN.0000000000002300. PMID: 29894315. 20. Riley RD, Ensor J, Snell KIE, Harrell FE Jr, Martin GP, Reitsma JB, et al. Calculating the sample size required for developing a clinical prediction model. BMJ. 2020 Mar 18;368:m441. doi:10.1136/bmj.m441. PMID: 32184264. 21. Van Calster B, McLernon DJ, van Smeden M, Wynants L, Steyerberg EW; Topic Group 'Evaluating diagnostic tests and prediction models' of the STRATOS initiative. Calibration: the Achilles heel of predictive analytics. BMC Med. 2019 Dec 16;17(1):230. doi:10.1186/s12916-019-1466-7. PMID: 31842878; PMCID: PMC6912996.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1315"/>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1315"/>
                    </a:xfrm>
                    <a:prstGeom prst="rect"/>
                  </pic:spPr>
                </pic:pic>
              </a:graphicData>
            </a:graphic>
          </wp:inline>
        </w:drawing>
      </w:r>
    </w:p>
    <w:p>
      <w:r>
        <w:t>showing exclusions for implausible operating room window (n = 8), fewer than 60 recorded vital-sign observations within the operating-room window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931460"/>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931460"/>
                    </a:xfrm>
                    <a:prstGeom prst="rect"/>
                  </pic:spPr>
                </pic:pic>
              </a:graphicData>
            </a:graphic>
          </wp:inline>
        </w:drawing>
      </w:r>
    </w:p>
    <w:p>
      <w:r>
        <w:t>with the primary definition D1 marked.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7898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7898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658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658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84778"/>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84778"/>
                    </a:xfrm>
                    <a:prstGeom prst="rect"/>
                  </pic:spPr>
                </pic:pic>
              </a:graphicData>
            </a:graphic>
          </wp:inline>
        </w:drawing>
      </w:r>
    </w:p>
    <w:p>
      <w:r>
        <w:rPr>
          <w:b/>
        </w:rPr>
        <w:t>Figure 6. External transportability check in VitalDB.</w:t>
      </w:r>
      <w:r>
        <w:t xml:space="preserve"> Receiver operating characteristic</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r>
        <w:t>(left), precision–recall (centre) and predicted-risk distribution (right) for the MOVER core model applied unchanged to the VitalDB arterial cohort (n = 3,735; outcome prevalence 5.73%).</w:t>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