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rPr>
        <w:t>Cover Letter</w:t>
      </w:r>
    </w:p>
    <w:p>
      <w:r>
        <w:rPr>
          <w:b/>
        </w:rPr>
        <w:t>To:</w:t>
      </w:r>
      <w:r>
        <w:rPr>
          <w:b w:val="0"/>
        </w:rPr>
        <w:t xml:space="preserve"> The Editor-in-Chief, *BMC Anesthesiology*</w:t>
      </w:r>
    </w:p>
    <w:p>
      <w:r>
        <w:rPr>
          <w:b/>
        </w:rPr>
        <w:t>Date:</w:t>
      </w:r>
      <w:r>
        <w:rPr>
          <w:b w:val="0"/>
        </w:rPr>
        <w:t xml:space="preserve"> 2026-10-20</w:t>
      </w:r>
    </w:p>
    <w:p>
      <w:r>
        <w:rPr>
          <w:b/>
        </w:rPr>
        <w:t>Manuscript type:</w:t>
      </w:r>
      <w:r>
        <w:rPr>
          <w:b w:val="0"/>
        </w:rPr>
        <w:t xml:space="preserve"> Original Article</w:t>
      </w:r>
    </w:p>
    <w:p>
      <w:r>
        <w:rPr>
          <w:b/>
        </w:rPr>
        <w:t>Corresponding author:</w:t>
      </w:r>
      <w:r>
        <w:rPr>
          <w:b w:val="0"/>
        </w:rPr>
        <w:t xml:space="preserve"> Yongxin Yang, 960856791@qq.com</w:t>
      </w:r>
    </w:p>
    <w:p>
      <w:r>
        <w:rPr>
          <w:b w:val="0"/>
        </w:rPr>
        <w:t>Dear Editor-in-Chief,</w:t>
      </w:r>
    </w:p>
    <w:p>
      <w:r>
        <w:rPr>
          <w:b w:val="0"/>
        </w:rPr>
        <w:t xml:space="preserve">Please consider our manuscript entitled </w:t>
      </w:r>
      <w:r>
        <w:rPr>
          <w:b/>
        </w:rPr>
        <w:t>"Prediction of intraoperative hypotension exposure from data available at anaesthesia induction: development and internal validation in MOVER/SIS with an external transportability check in VitalDB"</w:t>
      </w:r>
      <w:r>
        <w:rPr>
          <w:b w:val="0"/>
        </w:rPr>
        <w:t xml:space="preserve"> for publication as an Original Article in *BMC Anesthesiology*.</w:t>
      </w:r>
    </w:p>
    <w:p>
      <w:r>
        <w:rPr>
          <w:b/>
        </w:rPr>
        <w:t>Summary of the work.</w:t>
      </w:r>
      <w:r>
        <w:rPr>
          <w:b w:val="0"/>
        </w:rPr>
        <w:t xml:space="preserve"> We developed and internally validated a gradient-boosted model that predicts intraoperative hypotensive exposure (≥10 post-anchor MAP measurements, ≥30% below 65 mmHg — an exposure-fraction definition, not a cumulative time below threshold) over the remainder of surgery, using only data available at the anaesthesia-induction anchor. In 16,861 adult surgical cases from the MOVER/SIS cohort, the model achieved AUPRC 0.347 (AUROC 0.722) on a patient-level split and was reproduced under temporal validation, with well-calibrated probabilities after isotonic recalibration. In decision-curve analysis the model's net benefit over the default strategies was positive across most of the evaluated threshold range but small in absolute terms (below 0.01 at decision-relevant thresholds of 0.10–0.30), so we position the analysis as a risk-stratification contribution rather than a treatment rule. Most predictive information resided in the pre-anchor arterial pressure level; a MAP-only logistic benchmark reproduced most of the performance (AUPRC 0.284 vs 0.347; incremental net benefit 0.013). We then applied the unchanged model to an independent public cohort (VitalDB, n = 3,735 arterial cases): discrimination transferred (external AUROC 0.744), but absolute probabilities did not (mean predicted risk 0.36 vs observed prevalence 0.057), identifying local recalibration as the concrete deployment requirement. Because the external anchor, endpoint definition and recording density all differ from the development cohort, we accompany the external step with sensitivity analyses that re-derive the external endpoint on a common one-minute grid, restrict the transported model to physiological value-domain features, and re-run the development analysis on the 15,365 adequately monitored cases and with a half-open feature window.</w:t>
      </w:r>
    </w:p>
    <w:p>
      <w:r>
        <w:rPr>
          <w:b/>
        </w:rPr>
        <w:t>Why this manuscript fits *BMC Anesthesiology*.</w:t>
      </w:r>
    </w:p>
    <w:p>
      <w:pPr>
        <w:pStyle w:val="ListNumber"/>
      </w:pPr>
      <w:r>
        <w:rPr>
          <w:b w:val="0"/>
        </w:rPr>
        <w:t>*Topic alignment.* Intraoperative hypotension and perioperative risk prediction are central to the journal's scope, and the clinical question (anticipation at induction rather than intraoperative monitoring) is directly relevant to anaesthesia practice.</w:t>
      </w:r>
    </w:p>
    <w:p>
      <w:pPr>
        <w:pStyle w:val="ListNumber"/>
      </w:pPr>
      <w:r>
        <w:rPr>
          <w:b w:val="0"/>
        </w:rPr>
        <w:t>*Methodological alignment.* The study is reported in accordance with TRIPOD+AI (2024), includes an explicit leakage audit, calibration assessment with recalibration, and decision-curve analysis, and is accompanied by a completed reporting checklist (Additional file 2) and a fully traceable audit trail (Additional file 1).</w:t>
      </w:r>
    </w:p>
    <w:p>
      <w:pPr>
        <w:pStyle w:val="ListNumber"/>
      </w:pPr>
      <w:r>
        <w:rPr>
          <w:b w:val="0"/>
        </w:rPr>
        <w:t>*Honest evidence level.* We present a development study with internal validation and an external transportability check (TRIPOD type 2b, reported under TRIPOD+AI 2024). The external step is reported transparently as a transportability check with an adapted anchor (operation start in place of induction, because VitalDB records no intubation event) rather than a like-for-like validation, and as showing transfer of discrimination but not of calibration; the differing endpoint definitions, recording densities and feature-space support between the two cohorts are quantified rather than glossed over. We quantify the recording-density constraint of the source data and benchmark the full model against a MAP-only baseline rather than overstating incremental value. We believe this candour about the limits of prediction on sparse public operating-room data is itself a contribution the journal's readership will value.</w:t>
      </w:r>
    </w:p>
    <w:p>
      <w:r>
        <w:rPr>
          <w:b/>
        </w:rPr>
        <w:t>Confirmations.</w:t>
      </w:r>
    </w:p>
    <w:p>
      <w:pPr>
        <w:pStyle w:val="ListBullet"/>
      </w:pPr>
      <w:r>
        <w:rPr>
          <w:b w:val="0"/>
        </w:rPr>
        <w:t>The manuscript is original, has not been published previously, and is not under consideration elsewhere.</w:t>
      </w:r>
    </w:p>
    <w:p>
      <w:pPr>
        <w:pStyle w:val="ListBullet"/>
      </w:pPr>
      <w:r>
        <w:rPr>
          <w:b w:val="0"/>
        </w:rPr>
        <w:t>The sole author has approved the manuscript and agrees to its submission.</w:t>
      </w:r>
    </w:p>
    <w:p>
      <w:pPr>
        <w:pStyle w:val="ListBullet"/>
      </w:pPr>
      <w:r>
        <w:rPr>
          <w:b w:val="0"/>
        </w:rPr>
        <w:t>Reporting follows TRIPOD+AI; the completed checklist is provided as Additional file 2.</w:t>
      </w:r>
    </w:p>
    <w:p>
      <w:pPr>
        <w:pStyle w:val="ListBullet"/>
      </w:pPr>
      <w:r>
        <w:rPr>
          <w:b/>
        </w:rPr>
        <w:t>Ethics.</w:t>
      </w:r>
      <w:r>
        <w:rPr>
          <w:b w:val="0"/>
        </w:rPr>
        <w:t xml:space="preserve"> This is a retrospective analysis of a pre-existing, de-identified database (MOVER, University of California Irvine) accessed under a signed data use agreement. Under the policy of the Institutional Review Board of The Second Affiliated Hospital of Fujian University of Traditional Chinese Medicine, such research is exempt from prospective ethical review and individual consent; the study was conducted under this exemption. No approval number is reported because none was assigned.</w:t>
      </w:r>
    </w:p>
    <w:p>
      <w:pPr>
        <w:pStyle w:val="ListBullet"/>
      </w:pPr>
      <w:r>
        <w:rPr>
          <w:b/>
        </w:rPr>
        <w:t>Data availability.</w:t>
      </w:r>
      <w:r>
        <w:rPr>
          <w:b w:val="0"/>
        </w:rPr>
        <w:t xml:space="preserve"> Analysis code, the configuration file, the audit trail, and the aggregate result files from which every reported number is generated are available in the GitHub reproduction package (v1.0.1; https://github.com/yyx-4113/mover-sis-ioh-prediction/releases/tag/v1.0.1) with a MANIFEST of file checksums. Patient-level derived files are regenerable from the MOVER source under the data use agreement by running the provided pipeline.</w:t>
      </w:r>
    </w:p>
    <w:p>
      <w:pPr>
        <w:pStyle w:val="ListBullet"/>
      </w:pPr>
      <w:r>
        <w:rPr>
          <w:b/>
        </w:rPr>
        <w:t>Competing interests.</w:t>
      </w:r>
      <w:r>
        <w:rPr>
          <w:b w:val="0"/>
        </w:rPr>
        <w:t xml:space="preserve"> The author declares no competing interests. </w:t>
      </w:r>
      <w:r>
        <w:rPr>
          <w:b/>
        </w:rPr>
        <w:t>Funding.</w:t>
      </w:r>
      <w:r>
        <w:rPr>
          <w:b w:val="0"/>
        </w:rPr>
        <w:t xml:space="preserve"> No funding was received.</w:t>
      </w:r>
    </w:p>
    <w:p>
      <w:pPr>
        <w:pStyle w:val="ListBullet"/>
      </w:pPr>
      <w:r>
        <w:rPr>
          <w:b/>
        </w:rPr>
        <w:t>Use of artificial intelligence.</w:t>
      </w:r>
      <w:r>
        <w:rPr>
          <w:b w:val="0"/>
        </w:rPr>
        <w:t xml:space="preserve"> An LLM assistant supported code writing, debugging, and manuscript drafting; all design decisions, results, and the final text are the author's sole responsibility, and the assistant is not an author.</w:t>
      </w:r>
    </w:p>
    <w:p>
      <w:r>
        <w:rPr>
          <w:b w:val="0"/>
        </w:rPr>
        <w:t>We would be grateful if the manuscript could be reviewed by editors and reviewers with expertise in perioperative prediction modelling and clinical calibration methodology. Suggested potential reviewers can be supplied on request and with their consent.</w:t>
      </w:r>
    </w:p>
    <w:p>
      <w:r>
        <w:rPr>
          <w:b w:val="0"/>
        </w:rPr>
        <w:t>Thank you for your time and consideration.</w:t>
      </w:r>
    </w:p>
    <w:p>
      <w:r>
        <w:rPr>
          <w:b w:val="0"/>
        </w:rPr>
        <w:t>Sincerely,</w:t>
      </w:r>
    </w:p>
    <w:p>
      <w:r>
        <w:rPr>
          <w:b w:val="0"/>
        </w:rPr>
        <w:t>Yongxin Yang</w:t>
      </w:r>
    </w:p>
    <w:p>
      <w:r>
        <w:rPr>
          <w:b w:val="0"/>
        </w:rPr>
        <w:t>Department of Anesthesiology, The Second Affiliated Hospital of Fujian University of Traditional Chinese Medicine, Fuzhou, Fujian 350003, China</w:t>
      </w:r>
    </w:p>
    <w:p>
      <w:r>
        <w:rPr>
          <w:b w:val="0"/>
        </w:rPr>
        <w:t>ORCID: 0009-0004-9698-6552</w:t>
      </w:r>
    </w:p>
    <w:p>
      <w:r>
        <w:rPr>
          <w:b w:val="0"/>
        </w:rPr>
        <w:t>Email: 960856791@qq.com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