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sustained intraoperative hypotension burden from data available at anaesthesia induction: model development and internal validation in the MOVER/SIS cohort</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 960856791@qq.com</w:t>
      </w:r>
    </w:p>
    <w:p>
      <w:pPr>
        <w:pStyle w:val="Heading1"/>
      </w:pPr>
      <w:r>
        <w:t>Abstract</w:t>
      </w:r>
    </w:p>
    <w:p>
      <w:r>
        <w:rPr>
          <w:b/>
        </w:rPr>
        <w:t>Background:</w:t>
      </w:r>
      <w:r>
        <w:t xml:space="preserve"> Intraoperative hypotension is associated with kidney and myocardial injury. Reported performance of machine-learning models for anticipating it varies widely, and near-perfect discrimination has been claimed on public datasets whose blood-pressure recordings are sparse. We developed and internally validated a model predicting cumulative hypotension burden over the remainder of surgery from data available at the anaesthesia induction anchor.</w:t>
      </w:r>
    </w:p>
    <w:p>
      <w:r>
        <w:rPr>
          <w:b/>
        </w:rPr>
        <w:t>Methods:</w:t>
      </w:r>
      <w:r>
        <w:t xml:space="preserve"> Retrospective cohort from MOVER/SIS (University of California Irvine; data use agreement). Of 19,114 screened records, 16,861 adult cases had a valid anchor (first Intubation event, 82.1%; otherwise surgery start, 17.9%). The primary outcome required ≥10 mean arterial pressure (MAP) measurements after the anchor with ≥30% below 65 mmHg. All 206 predictors were truncated at the anchor. Four models were fitted: baseline logistic (age, sex, body mass index), full logistic, XGBoost and LightGBM. Validation used a patient-level 80/20 split (primary) and a temporal split (secondary). The primary metric was area under the precision–recall curve (AUPRC); AUROC and Brier score were secondary; 1,000 bootstrap resamples gave confidence intervals. Out-of-fold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0.234 (baseline), 0.301 (full logistic) and 0.337 (LightGBM); on the temporal split it achieved 0.339 (0.291–0.395) and 0.733 (0.703–0.762). Isotonic recalibration improved the Brier score from 0.191 to 0.119 (slope 0.909; intercept 0.008). Net benefit at a threshold of 0.15 was 0.050. Performance was higher in women (0.357 vs 0.299), patients under 50 years (0.380 vs 0.186 at ≥65 years) and underweight patients (0.616). Pre-anchor mean MAP was the dominant predictor.</w:t>
      </w:r>
    </w:p>
    <w:p>
      <w:r>
        <w:rPr>
          <w:b/>
        </w:rPr>
        <w:t>Conclusions:</w:t>
      </w:r>
      <w:r>
        <w:t xml:space="preserve"> An anchor-based model using routinely recorded pre-induction data achieved modest but non-null discrimination for cumulative hypotension burden and was well calibrated. Most information resided in the pre-anchor arterial pressure level. External validation is required before clinical application.</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[17] and by a perioperative consensus that recommends keeping intraoperative mean arterial pressure at or above 60 mmHg in at-risk patients [18], and by further work linking intraoperative mean arterial pressure to outcomes [16].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Hypotension Prediction Index,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case-minutes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 xml:space="preserve">We therefore set out to develop and internally validate a model for the </w:t>
      </w:r>
      <w:r>
        <w:rPr>
          <w:i/>
        </w:rPr>
        <w:t>cumulative burden</w:t>
      </w:r>
      <w:r>
        <w:t xml:space="preserve"> of hypotension over the remainder of surgery, using only information available at the anaesthesia induction anchor,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2a (development with internal validation, no external validation). The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an OR window shorter than 60 minutes;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3,559,993 one-minute OR observations. Median OR duration was 167 minutes.</w:t>
      </w:r>
    </w:p>
    <w:p>
      <w:pPr>
        <w:pStyle w:val="Heading2"/>
      </w:pPr>
      <w:r>
        <w:t>Prediction anchor</w:t>
      </w:r>
    </w:p>
    <w:p>
      <w:r>
        <w:t>The prediction anchor was the first recorded Intubation event (n = 13,834; 82.1%). Where no intubation event existed, Surgery start was used as a proxy (n = 3,027; 17.9%). The anchor occurred a median of 15 minutes (IQR 11–24) after OR start. The observation window after the anchor had a median duration of 147 minutes (5th–95th percentile 49–440).</w:t>
      </w:r>
    </w:p>
    <w:p>
      <w:pPr>
        <w:pStyle w:val="Heading2"/>
      </w:pPr>
      <w:r>
        <w:t>Outcome</w:t>
      </w:r>
    </w:p>
    <w:p>
      <w:r>
        <w:t>The primary outcome (D1) was a cumulative-burden definition aligned with the absolute-threshold framework of Salmasi et al. [1]: at least 10 MAP measurements after the anchor, of which at least 30% were below 65 mmHg. Cases with fewer than 10 post-anchor measurements were classified as negative by construction; this applied to 1,496 cases (8.9%), because the definition deliberately requires a minimum amount of evidence before a burden can be asserted.</w:t>
      </w:r>
    </w:p>
    <w:p>
      <w:r>
        <w:t>Because the choice of hypotension definition materially changes apparent performance, 14 candidate definitions were computed for every case and are reported in full (Table 2) [9].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w:t>
      </w:r>
    </w:p>
    <w:p>
      <w:r>
        <w:t>Surgical group was assigned from the free-text procedure description by keyword mapping into 12 categories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XGBoost 3.4.1 and LightGBM 4.7.0. The random seed was fixed at 12,345. Every number reported in this manuscript is generated from a result file by the analysis pipeline and is traceable through an audit trail (Additional file 1) that records, for each quantity, its value, the producing artefact and the command that reproduces it [10–12].</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 median (IQR)</w:t>
            </w:r>
          </w:p>
        </w:tc>
        <w:tc>
          <w:tcPr>
            <w:tcW w:type="dxa" w:w="4320"/>
          </w:tcPr>
          <w:p>
            <w:r/>
            <w:r>
              <w:t>54 (39–66)</w:t>
            </w:r>
          </w:p>
        </w:tc>
      </w:tr>
      <w:tr>
        <w:tc>
          <w:tcPr>
            <w:tcW w:type="dxa" w:w="4320"/>
          </w:tcPr>
          <w:p>
            <w:r/>
            <w:r>
              <w:t>Male sex — n (%)</w:t>
            </w:r>
          </w:p>
        </w:tc>
        <w:tc>
          <w:tcPr>
            <w:tcW w:type="dxa" w:w="4320"/>
          </w:tcPr>
          <w:p>
            <w:r/>
            <w:r>
              <w:t>8,355 (49.6)</w:t>
            </w:r>
          </w:p>
        </w:tc>
      </w:tr>
      <w:tr>
        <w:tc>
          <w:tcPr>
            <w:tcW w:type="dxa" w:w="4320"/>
          </w:tcPr>
          <w:p>
            <w:r/>
            <w:r>
              <w:t>Female sex — n (%)</w:t>
            </w:r>
          </w:p>
        </w:tc>
        <w:tc>
          <w:tcPr>
            <w:tcW w:type="dxa" w:w="4320"/>
          </w:tcPr>
          <w:p>
            <w:r/>
            <w:r>
              <w:t>8,502 (50.4)</w:t>
            </w:r>
          </w:p>
        </w:tc>
      </w:tr>
      <w:tr>
        <w:tc>
          <w:tcPr>
            <w:tcW w:type="dxa" w:w="4320"/>
          </w:tcPr>
          <w:p>
            <w:r/>
            <w:r>
              <w:t>Sex unknown — n (%)</w:t>
            </w:r>
          </w:p>
        </w:tc>
        <w:tc>
          <w:tcPr>
            <w:tcW w:type="dxa" w:w="4320"/>
          </w:tcPr>
          <w:p>
            <w:r/>
            <w:r>
              <w:t>4 (&lt;0.1)</w:t>
            </w:r>
          </w:p>
        </w:tc>
      </w:tr>
      <w:tr>
        <w:tc>
          <w:tcPr>
            <w:tcW w:type="dxa" w:w="4320"/>
          </w:tcPr>
          <w:p>
            <w:r/>
            <w:r>
              <w:t>Height, cm — median (IQR)</w:t>
            </w:r>
          </w:p>
        </w:tc>
        <w:tc>
          <w:tcPr>
            <w:tcW w:type="dxa" w:w="4320"/>
          </w:tcPr>
          <w:p>
            <w:r/>
            <w:r>
              <w:t>167 (160–175)</w:t>
            </w:r>
          </w:p>
        </w:tc>
      </w:tr>
      <w:tr>
        <w:tc>
          <w:tcPr>
            <w:tcW w:type="dxa" w:w="4320"/>
          </w:tcPr>
          <w:p>
            <w:r/>
            <w:r>
              <w:t>Weight, kg — median (IQR)</w:t>
            </w:r>
          </w:p>
        </w:tc>
        <w:tc>
          <w:tcPr>
            <w:tcW w:type="dxa" w:w="4320"/>
          </w:tcPr>
          <w:p>
            <w:r/>
            <w:r>
              <w:t>76 (63–90)</w:t>
            </w:r>
          </w:p>
        </w:tc>
      </w:tr>
      <w:tr>
        <w:tc>
          <w:tcPr>
            <w:tcW w:type="dxa" w:w="4320"/>
          </w:tcPr>
          <w:p>
            <w:r/>
            <w:r>
              <w:t>Body mass index, kg/m² — median (IQR)</w:t>
            </w:r>
          </w:p>
        </w:tc>
        <w:tc>
          <w:tcPr>
            <w:tcW w:type="dxa" w:w="4320"/>
          </w:tcPr>
          <w:p>
            <w:r/>
            <w:r>
              <w:t>26.6 (23.1–30.9)</w:t>
            </w:r>
          </w:p>
        </w:tc>
      </w:tr>
      <w:tr>
        <w:tc>
          <w:tcPr>
            <w:tcW w:type="dxa" w:w="4320"/>
          </w:tcPr>
          <w:p>
            <w:r/>
            <w:r>
              <w:t>Anchor = Intubation — n (%)</w:t>
            </w:r>
          </w:p>
        </w:tc>
        <w:tc>
          <w:tcPr>
            <w:tcW w:type="dxa" w:w="4320"/>
          </w:tcPr>
          <w:p>
            <w:r/>
            <w:r>
              <w:t>13,834 (82.1)</w:t>
            </w:r>
          </w:p>
        </w:tc>
      </w:tr>
      <w:tr>
        <w:tc>
          <w:tcPr>
            <w:tcW w:type="dxa" w:w="4320"/>
          </w:tcPr>
          <w:p>
            <w:r/>
            <w:r>
              <w:t>Anchor = Surgery start (proxy) — n (%)</w:t>
            </w:r>
          </w:p>
        </w:tc>
        <w:tc>
          <w:tcPr>
            <w:tcW w:type="dxa" w:w="4320"/>
          </w:tcPr>
          <w:p>
            <w:r/>
            <w:r>
              <w:t>3,027 (17.9)</w:t>
            </w:r>
          </w:p>
        </w:tc>
      </w:tr>
      <w:tr>
        <w:tc>
          <w:tcPr>
            <w:tcW w:type="dxa" w:w="4320"/>
          </w:tcPr>
          <w:p>
            <w:r/>
            <w:r>
              <w:t>Anchor after OR start, min — median (IQR)</w:t>
            </w:r>
          </w:p>
        </w:tc>
        <w:tc>
          <w:tcPr>
            <w:tcW w:type="dxa" w:w="4320"/>
          </w:tcPr>
          <w:p>
            <w:r/>
            <w:r>
              <w:t>15 (11–24)</w:t>
            </w:r>
          </w:p>
        </w:tc>
      </w:tr>
      <w:tr>
        <w:tc>
          <w:tcPr>
            <w:tcW w:type="dxa" w:w="4320"/>
          </w:tcPr>
          <w:p>
            <w:r/>
            <w:r>
              <w:t>Post-anchor window, min — median (5th–95th)</w:t>
            </w:r>
          </w:p>
        </w:tc>
        <w:tc>
          <w:tcPr>
            <w:tcW w:type="dxa" w:w="4320"/>
          </w:tcPr>
          <w:p>
            <w:r/>
            <w:r>
              <w:t>147 (49–440)</w:t>
            </w:r>
          </w:p>
        </w:tc>
      </w:tr>
      <w:tr>
        <w:tc>
          <w:tcPr>
            <w:tcW w:type="dxa" w:w="4320"/>
          </w:tcPr>
          <w:p>
            <w:r/>
            <w:r>
              <w:t>Pre-anchor MAP readings in 15-min window — median (IQR)</w:t>
            </w:r>
          </w:p>
        </w:tc>
        <w:tc>
          <w:tcPr>
            <w:tcW w:type="dxa" w:w="4320"/>
          </w:tcPr>
          <w:p>
            <w:r/>
            <w:r>
              <w:t>3 (2–4)</w:t>
            </w:r>
          </w:p>
        </w:tc>
      </w:tr>
      <w:tr>
        <w:tc>
          <w:tcPr>
            <w:tcW w:type="dxa" w:w="4320"/>
          </w:tcPr>
          <w:p>
            <w:r/>
            <w:r>
              <w:t>Pre-anchor mean MAP, mmHg — median (IQR)</w:t>
            </w:r>
          </w:p>
        </w:tc>
        <w:tc>
          <w:tcPr>
            <w:tcW w:type="dxa" w:w="4320"/>
          </w:tcPr>
          <w:p>
            <w:r/>
            <w:r>
              <w:t>87.7 (77.7–98.5)</w:t>
            </w:r>
          </w:p>
        </w:tc>
      </w:tr>
      <w:tr>
        <w:tc>
          <w:tcPr>
            <w:tcW w:type="dxa" w:w="4320"/>
          </w:tcPr>
          <w:p>
            <w:r/>
            <w:r>
              <w:t>Invasive arterial monitoring available — n (%)</w:t>
            </w:r>
          </w:p>
        </w:tc>
        <w:tc>
          <w:tcPr>
            <w:tcW w:type="dxa" w:w="4320"/>
          </w:tcPr>
          <w:p>
            <w:r/>
            <w:r>
              <w:t>2,503 (14.8)</w:t>
            </w:r>
          </w:p>
        </w:tc>
      </w:tr>
      <w:tr>
        <w:tc>
          <w:tcPr>
            <w:tcW w:type="dxa" w:w="4320"/>
          </w:tcPr>
          <w:p>
            <w:r/>
            <w:r>
              <w:t>Ventilation data available — n (%)</w:t>
            </w:r>
          </w:p>
        </w:tc>
        <w:tc>
          <w:tcPr>
            <w:tcW w:type="dxa" w:w="4320"/>
          </w:tcPr>
          <w:p>
            <w:r/>
            <w:r>
              <w:t>4,852 (28.8)</w:t>
            </w:r>
          </w:p>
        </w:tc>
      </w:tr>
      <w:tr>
        <w:tc>
          <w:tcPr>
            <w:tcW w:type="dxa" w:w="4320"/>
          </w:tcPr>
          <w:p>
            <w:r/>
            <w:r>
              <w:t>Pre-anchor laboratory results — n (%)</w:t>
            </w:r>
          </w:p>
        </w:tc>
        <w:tc>
          <w:tcPr>
            <w:tcW w:type="dxa" w:w="4320"/>
          </w:tcPr>
          <w:p>
            <w:r/>
            <w:r>
              <w:t>76 (0.45)</w:t>
            </w:r>
          </w:p>
        </w:tc>
      </w:tr>
      <w:tr>
        <w:tc>
          <w:tcPr>
            <w:tcW w:type="dxa" w:w="4320"/>
          </w:tcPr>
          <w:p>
            <w:r/>
            <w:r>
              <w:t>Pre-anchor fluid/intake-output records — n (%)</w:t>
            </w:r>
          </w:p>
        </w:tc>
        <w:tc>
          <w:tcPr>
            <w:tcW w:type="dxa" w:w="4320"/>
          </w:tcPr>
          <w:p>
            <w:r/>
            <w:r>
              <w:t>2,794 (16.6)</w:t>
            </w:r>
          </w:p>
        </w:tc>
      </w:tr>
      <w:tr>
        <w:tc>
          <w:tcPr>
            <w:tcW w:type="dxa" w:w="4320"/>
          </w:tcPr>
          <w:p>
            <w:r/>
            <w:r>
              <w:t>Surgical group: gastrointestinal —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demonstrate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99.8</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(0.724 vs 0.722) but slightly lower on AUPRC. The full logistic model reached AUPRC 0.301, and the age/sex/BMI baseline 0.234, indicating that the additional predictors contribute meaningfully beyond basic demographics while the absolute gain remains moderate.</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0.234 (0.207–0.268)</w:t>
            </w:r>
          </w:p>
        </w:tc>
        <w:tc>
          <w:tcPr>
            <w:tcW w:type="dxa" w:w="1080"/>
          </w:tcPr>
          <w:p>
            <w:r/>
            <w:r>
              <w:t>0.626 (0.597–0.653)</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(0.268–0.340)</w:t>
            </w:r>
          </w:p>
        </w:tc>
        <w:tc>
          <w:tcPr>
            <w:tcW w:type="dxa" w:w="1080"/>
          </w:tcPr>
          <w:p>
            <w:r/>
            <w:r>
              <w:t>0.707 (0.682–0.729)</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0.337 (0.301–0.375)</w:t>
            </w:r>
          </w:p>
        </w:tc>
        <w:tc>
          <w:tcPr>
            <w:tcW w:type="dxa" w:w="1080"/>
          </w:tcPr>
          <w:p>
            <w:r/>
            <w:r>
              <w:t>0.724 (0.699–0.745)</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0.240</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0.725 (0.693–0.757)</w:t>
            </w:r>
          </w:p>
        </w:tc>
        <w:tc>
          <w:tcPr>
            <w:tcW w:type="dxa" w:w="1080"/>
          </w:tcPr>
          <w:p>
            <w:r/>
            <w:r>
              <w:t>0.227</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0.337 (0.290–0.392)</w:t>
            </w:r>
          </w:p>
        </w:tc>
        <w:tc>
          <w:tcPr>
            <w:tcW w:type="dxa" w:w="1080"/>
          </w:tcPr>
          <w:p>
            <w:r/>
            <w:r>
              <w:t>0.732 (0.703–0.761)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confirms meaningful miscalibration for which recalibration was required rather than cosmetic. Out-of-fold isotonic recalibration reduced the Brier score to 0.119, with a calibration slope of 0.909 and an intercept of 0.008, indicating well-calibrated probabilities on the log-odds scale. On the temporal split the Brier score improved from 0.194 to 0.122, with slope 0.934 and intercept 0.006.</w:t>
      </w:r>
    </w:p>
    <w:p>
      <w:r>
        <w:t>In decision curve analysis, the calibrated model's net benefit exceeded that of both default strategies (treat all, treat none) across the evaluated threshold range, remaining positive up to a threshold of 0.58 on the patient-level split and 0.73 on the temporal split (with a transient dip near 0.67 on the temporal split). At a threshold of 0.15, close to the outcome prevalence, net benefit was 0.050 and 0.058 respectively; at a threshold of 0.10 it was 0.079 and 0.085. In a benchmark against a logistic model using the pre-anchor mean MAP alone, the full model's incremental net benefit was 0.013 at both thresholds 0.10 and 0.15 (Figure 4).</w:t>
      </w:r>
    </w:p>
    <w:p>
      <w:pPr>
        <w:pStyle w:val="Heading2"/>
      </w:pPr>
      <w:r>
        <w:t>Subgroup performance</w:t>
      </w:r>
    </w:p>
    <w:p>
      <w:r>
        <w:t>Performance varied systematically (Table 5). AUPRC was higher in women than men, declined monotonically with age, and was highest in underweight patients. These patterns were reproduced on the temporal split for sex and age. The underweight subgroup was an exception: AUPRC was 0.616 on the patient-level split but 0.382 on the temporal split, and with only 98 cases in the patient-level test-set stratum (512 in the full cohort) the estimate should be regarded as unstable.</w:t>
      </w:r>
    </w:p>
    <w:p>
      <w:r>
        <w:rPr>
          <w:b/>
        </w:rPr>
        <w:t>Table 5. AUPRC of XGBoost by subgroup (held-out test set).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Subgroup</w:t>
            </w:r>
          </w:p>
        </w:tc>
        <w:tc>
          <w:tcPr>
            <w:tcW w:type="dxa" w:w="2160"/>
          </w:tcPr>
          <w:p>
            <w:r>
              <w:rPr>
                <w:b/>
              </w:rPr>
            </w:r>
            <w:r>
              <w:rPr>
                <w:b/>
              </w:rPr>
              <w:t>n (test)</w:t>
            </w:r>
          </w:p>
        </w:tc>
        <w:tc>
          <w:tcPr>
            <w:tcW w:type="dxa" w:w="2160"/>
          </w:tcPr>
          <w:p>
            <w:r>
              <w:rPr>
                <w:b/>
              </w:rPr>
            </w:r>
            <w:r>
              <w:rPr>
                <w:b/>
              </w:rPr>
              <w:t>Patient split</w:t>
            </w:r>
          </w:p>
        </w:tc>
        <w:tc>
          <w:tcPr>
            <w:tcW w:type="dxa" w:w="2160"/>
          </w:tcPr>
          <w:p>
            <w:r>
              <w:rPr>
                <w:b/>
              </w:rPr>
            </w:r>
            <w:r>
              <w:rPr>
                <w:b/>
              </w:rPr>
              <w:t>Temporal split</w:t>
            </w:r>
          </w:p>
        </w:tc>
      </w:tr>
      <w:tr>
        <w:tc>
          <w:tcPr>
            <w:tcW w:type="dxa" w:w="2160"/>
          </w:tcPr>
          <w:p>
            <w:r/>
            <w:r>
              <w:t>Men</w:t>
            </w:r>
          </w:p>
        </w:tc>
        <w:tc>
          <w:tcPr>
            <w:tcW w:type="dxa" w:w="2160"/>
          </w:tcPr>
          <w:p>
            <w:r/>
            <w:r>
              <w:t>1,689</w:t>
            </w:r>
          </w:p>
        </w:tc>
        <w:tc>
          <w:tcPr>
            <w:tcW w:type="dxa" w:w="2160"/>
          </w:tcPr>
          <w:p>
            <w:r/>
            <w:r>
              <w:t>0.299</w:t>
            </w:r>
          </w:p>
        </w:tc>
        <w:tc>
          <w:tcPr>
            <w:tcW w:type="dxa" w:w="2160"/>
          </w:tcPr>
          <w:p>
            <w:r/>
            <w:r>
              <w:t>0.267</w:t>
            </w:r>
          </w:p>
        </w:tc>
      </w:tr>
      <w:tr>
        <w:tc>
          <w:tcPr>
            <w:tcW w:type="dxa" w:w="2160"/>
          </w:tcPr>
          <w:p>
            <w:r/>
            <w:r>
              <w:t>Women</w:t>
            </w:r>
          </w:p>
        </w:tc>
        <w:tc>
          <w:tcPr>
            <w:tcW w:type="dxa" w:w="2160"/>
          </w:tcPr>
          <w:p>
            <w:r/>
            <w:r>
              <w:t>1,684</w:t>
            </w:r>
          </w:p>
        </w:tc>
        <w:tc>
          <w:tcPr>
            <w:tcW w:type="dxa" w:w="2160"/>
          </w:tcPr>
          <w:p>
            <w:r/>
            <w:r>
              <w:t>0.357</w:t>
            </w:r>
          </w:p>
        </w:tc>
        <w:tc>
          <w:tcPr>
            <w:tcW w:type="dxa" w:w="2160"/>
          </w:tcPr>
          <w:p>
            <w:r/>
            <w:r>
              <w:t>0.370</w:t>
            </w:r>
          </w:p>
        </w:tc>
      </w:tr>
      <w:tr>
        <w:tc>
          <w:tcPr>
            <w:tcW w:type="dxa" w:w="2160"/>
          </w:tcPr>
          <w:p>
            <w:r/>
            <w:r>
              <w:t>Age &lt; 50 years</w:t>
            </w:r>
          </w:p>
        </w:tc>
        <w:tc>
          <w:tcPr>
            <w:tcW w:type="dxa" w:w="2160"/>
          </w:tcPr>
          <w:p>
            <w:r/>
            <w:r>
              <w:t>1,402</w:t>
            </w:r>
          </w:p>
        </w:tc>
        <w:tc>
          <w:tcPr>
            <w:tcW w:type="dxa" w:w="2160"/>
          </w:tcPr>
          <w:p>
            <w:r/>
            <w:r>
              <w:t>0.380</w:t>
            </w:r>
          </w:p>
        </w:tc>
        <w:tc>
          <w:tcPr>
            <w:tcW w:type="dxa" w:w="2160"/>
          </w:tcPr>
          <w:p>
            <w:r/>
            <w:r>
              <w:t>0.377</w:t>
            </w:r>
          </w:p>
        </w:tc>
      </w:tr>
      <w:tr>
        <w:tc>
          <w:tcPr>
            <w:tcW w:type="dxa" w:w="2160"/>
          </w:tcPr>
          <w:p>
            <w:r/>
            <w:r>
              <w:t>Age 50–64 years</w:t>
            </w:r>
          </w:p>
        </w:tc>
        <w:tc>
          <w:tcPr>
            <w:tcW w:type="dxa" w:w="2160"/>
          </w:tcPr>
          <w:p>
            <w:r/>
            <w:r>
              <w:t>1,044</w:t>
            </w:r>
          </w:p>
        </w:tc>
        <w:tc>
          <w:tcPr>
            <w:tcW w:type="dxa" w:w="2160"/>
          </w:tcPr>
          <w:p>
            <w:r/>
            <w:r>
              <w:t>0.324</w:t>
            </w:r>
          </w:p>
        </w:tc>
        <w:tc>
          <w:tcPr>
            <w:tcW w:type="dxa" w:w="2160"/>
          </w:tcPr>
          <w:p>
            <w:r/>
            <w:r>
              <w:t>0.305</w:t>
            </w:r>
          </w:p>
        </w:tc>
      </w:tr>
      <w:tr>
        <w:tc>
          <w:tcPr>
            <w:tcW w:type="dxa" w:w="2160"/>
          </w:tcPr>
          <w:p>
            <w:r/>
            <w:r>
              <w:t>Age ≥ 65 years</w:t>
            </w:r>
          </w:p>
        </w:tc>
        <w:tc>
          <w:tcPr>
            <w:tcW w:type="dxa" w:w="2160"/>
          </w:tcPr>
          <w:p>
            <w:r/>
            <w:r>
              <w:t>927</w:t>
            </w:r>
          </w:p>
        </w:tc>
        <w:tc>
          <w:tcPr>
            <w:tcW w:type="dxa" w:w="2160"/>
          </w:tcPr>
          <w:p>
            <w:r/>
            <w:r>
              <w:t>0.186</w:t>
            </w:r>
          </w:p>
        </w:tc>
        <w:tc>
          <w:tcPr>
            <w:tcW w:type="dxa" w:w="2160"/>
          </w:tcPr>
          <w:p>
            <w:r/>
            <w:r>
              <w:t>0.194</w:t>
            </w:r>
          </w:p>
        </w:tc>
      </w:tr>
      <w:tr>
        <w:tc>
          <w:tcPr>
            <w:tcW w:type="dxa" w:w="2160"/>
          </w:tcPr>
          <w:p>
            <w:r/>
            <w:r>
              <w:t>BMI &lt; 18.5 kg/m²</w:t>
            </w:r>
          </w:p>
        </w:tc>
        <w:tc>
          <w:tcPr>
            <w:tcW w:type="dxa" w:w="2160"/>
          </w:tcPr>
          <w:p>
            <w:r/>
            <w:r>
              <w:t>98</w:t>
            </w:r>
          </w:p>
        </w:tc>
        <w:tc>
          <w:tcPr>
            <w:tcW w:type="dxa" w:w="2160"/>
          </w:tcPr>
          <w:p>
            <w:r/>
            <w:r>
              <w:t>0.616</w:t>
            </w:r>
          </w:p>
        </w:tc>
        <w:tc>
          <w:tcPr>
            <w:tcW w:type="dxa" w:w="2160"/>
          </w:tcPr>
          <w:p>
            <w:r/>
            <w:r>
              <w:t>0.382</w:t>
            </w:r>
          </w:p>
        </w:tc>
      </w:tr>
      <w:tr>
        <w:tc>
          <w:tcPr>
            <w:tcW w:type="dxa" w:w="2160"/>
          </w:tcPr>
          <w:p>
            <w:r/>
            <w:r>
              <w:t>BMI 18.5–24.9 kg/m²</w:t>
            </w:r>
          </w:p>
        </w:tc>
        <w:tc>
          <w:tcPr>
            <w:tcW w:type="dxa" w:w="2160"/>
          </w:tcPr>
          <w:p>
            <w:r/>
            <w:r>
              <w:t>1,202</w:t>
            </w:r>
          </w:p>
        </w:tc>
        <w:tc>
          <w:tcPr>
            <w:tcW w:type="dxa" w:w="2160"/>
          </w:tcPr>
          <w:p>
            <w:r/>
            <w:r>
              <w:t>0.392</w:t>
            </w:r>
          </w:p>
        </w:tc>
        <w:tc>
          <w:tcPr>
            <w:tcW w:type="dxa" w:w="2160"/>
          </w:tcPr>
          <w:p>
            <w:r/>
            <w:r>
              <w:t>0.354</w:t>
            </w:r>
          </w:p>
        </w:tc>
      </w:tr>
      <w:tr>
        <w:tc>
          <w:tcPr>
            <w:tcW w:type="dxa" w:w="2160"/>
          </w:tcPr>
          <w:p>
            <w:r/>
            <w:r>
              <w:t>BMI 25–29.9 kg/m²</w:t>
            </w:r>
          </w:p>
        </w:tc>
        <w:tc>
          <w:tcPr>
            <w:tcW w:type="dxa" w:w="2160"/>
          </w:tcPr>
          <w:p>
            <w:r/>
            <w:r>
              <w:t>1,064</w:t>
            </w:r>
          </w:p>
        </w:tc>
        <w:tc>
          <w:tcPr>
            <w:tcW w:type="dxa" w:w="2160"/>
          </w:tcPr>
          <w:p>
            <w:r/>
            <w:r>
              <w:t>0.286</w:t>
            </w:r>
          </w:p>
        </w:tc>
        <w:tc>
          <w:tcPr>
            <w:tcW w:type="dxa" w:w="2160"/>
          </w:tcPr>
          <w:p>
            <w:r/>
            <w:r>
              <w:t>0.306</w:t>
            </w:r>
          </w:p>
        </w:tc>
      </w:tr>
      <w:tr>
        <w:tc>
          <w:tcPr>
            <w:tcW w:type="dxa" w:w="2160"/>
          </w:tcPr>
          <w:p>
            <w:r/>
            <w:r>
              <w:t>BMI ≥ 30 kg/m²</w:t>
            </w:r>
          </w:p>
        </w:tc>
        <w:tc>
          <w:tcPr>
            <w:tcW w:type="dxa" w:w="2160"/>
          </w:tcPr>
          <w:p>
            <w:r/>
            <w:r>
              <w:t>977</w:t>
            </w:r>
          </w:p>
        </w:tc>
        <w:tc>
          <w:tcPr>
            <w:tcW w:type="dxa" w:w="2160"/>
          </w:tcPr>
          <w:p>
            <w:r/>
            <w:r>
              <w:t>0.257</w:t>
            </w:r>
          </w:p>
        </w:tc>
        <w:tc>
          <w:tcPr>
            <w:tcW w:type="dxa" w:w="2160"/>
          </w:tcPr>
          <w:p>
            <w:r/>
            <w:r>
              <w:t>0.330</w:t>
            </w:r>
          </w:p>
        </w:tc>
      </w:tr>
    </w:tbl>
    <w:p/>
    <w:p>
      <w:r>
        <w:t>n denotes the number of cases in the held-out test set on which each subgroup AUPRC was computed (patient-level split: 3,373; temporal split: 1,818). Subgroup AUPRCs are exploratory given the reduced event counts within strata; for example, the underweight stratum comprised 98 patient-level test-set cases (512 in the full cohort).</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the cumulative burden of hypotension over the remainder of surgery, with closely similar performance under temporal validation and good calibration after isotonic recalibration. Discrimination was therefore approximately 2.2-fold (2.23×) better than the no-skill baseline on the precision–recall scale — modest, but clearly not null — and the decision curve showed the model yielded positive net benefit relative to both default strategies across threshold probabilities up to 0.58 (patient-level) and 0.73 (temporal).</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Performance declined sharply with age, which is the opposite of what a purely risk-factor-based model would predict, and was higher in women. Both patterns are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[13],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[13].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external-validation studies [14,15]; this underscores that our internal-validation design leaves external generalisability untested. Performance of the order of 0.97 would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 and that our own estimate carries the same absence of external validation.</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cumulative-burden outcomes are feasible on sparse data in a way that sustained-duration outcomes are not — sustained definitions at conventional thresholds identified fewer than 60 cases here, which is an important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No external validation.</w:t>
      </w:r>
      <w:r>
        <w:t xml:space="preserve"> This is a single-centre development with internal validation only (TRIPOD type 2a). Discrimination and, in particular, calibration may not transfer.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17.9% of cases the anchor was Surgery start rather than intubation, because no intubation event was recorded. This is not merely a labelling nuisance: the anchor source was among the strongest predictors (anchor is intubation ranked third by gain), so the proxy cohort — cases without a recorded intubation, which may systematically differ, for example monitored anaesthesia care or non-intubated procedures —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This is a spectrum effect: the excluded cases are exactly those with the sparsest monitoring (typically shorter or less-invasive cases) and are therefore not missing at random. The conditional prevalence among cases with at least 10 measurements was 17.5% (2,622 of 14,965), and excluding the sparse-monitoring cases may attenuate apparent performance.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w:t>
      </w:r>
    </w:p>
    <w:p>
      <w:pPr>
        <w:pStyle w:val="Heading1"/>
      </w:pPr>
      <w:r>
        <w:t>Conclusions</w:t>
      </w:r>
    </w:p>
    <w:p>
      <w:r>
        <w:t>Using only data available at the anaesthesia induction anchor, a gradient-boosted model achieved modest but non-null discrimination (AUPRC 0.347, AUROC 0.722) for cumulative intraoperative hypotension burden, reproduced under temporal validation and well calibrated after isotonic recalibration.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external validation,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AKI, acute kidney injury; AUROC, area under the receiver operating characteristic curve; AUPRC, area under the precision–recall curve; BMI, body mass index; DUA, data use agreement; IOH, intraoperative hypotension;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 retrospective waiver letter documenting this basis is being obtained from the IRB. All procedures were conducted in accordance with the Declaration of Helsinki.</w:t>
      </w:r>
    </w:p>
    <w:p>
      <w:r>
        <w:rPr>
          <w:b/>
        </w:rPr>
        <w:t>Consent for publication.</w:t>
      </w:r>
      <w:r>
        <w:t xml:space="preserve"> Not applicable.</w:t>
      </w:r>
    </w:p>
    <w:p>
      <w:r>
        <w:rPr>
          <w:b/>
        </w:rPr>
        <w:t>Availability of data and materials.</w:t>
      </w:r>
      <w:r>
        <w:t xml:space="preserve"> The analysis used MOVER (University of California Irvine), which is available to qualified researchers upon signature of a data use agreement (https://mover.ics.uci.edu/; UCI Machine Learning Repository, https://doi.org/10.24432/C5VS5G). Patient-level data are not redistributed by the author, as the data use agreement does not permit this. All analysis code, the configuration file, the audit trail, and the aggregate result files from which every number in this manuscript is generated are available at https://github.com/yyx-4113/mover-sis-ioh-prediction (v1.0.0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This manuscript, Table 2 (all 14 definitions computed for every case; see Additional file 1). 10. Pedregosa F, Varoquaux G, Gramfort A, et al. Scikit-learn: machine learning in Python. J Mach Learn Res. 2011;12:2825–2830. 11. Chen T, Guestrin C. XGBoost: a scalable tree boosting system. In: Proceedings of the 22nd ACM SIGKDD International Conference on Knowledge Discovery and Data Mining. 2016:785–794. doi:10.1145/2939672.2939785. 12. Ke G, Meng Q, Finley T, et al. LightGBM: a highly efficient gradient boosting decision tree. In: Advances in Neural Information Processing Systems 30. 2017:3146–3154. 13. Oyarzun R. The dynamics of arterial pressure itself predict intraoperative hypotension beyond its current value: an interpretable additive model validated in 3,069 external patients under a selection-bias-resistant protocol. medRxiv. 2026. doi:10.1101/2026.08.26.26361468. 14. Chiu C, Braehler MR, Donovan AL, Butte AJ, Pirracchio R, Bishara AM. Development of a machine learning-derived model to predict unplanned ICU admissions after major non-cardiac surgery. BMC Anesthesiol. 2025;25:351. doi:10.1186/s12871-025-03195-8. 15. Cheun H, Ahn JH, Park JW, et al. Development and external validation of a machine learning model for predicting severe immediate postoperative complications in adults undergoing cardiac surgery. BMC Anesthesiol. 2026;26:334. doi:10.1186/s12871-026-03841-9. 16. Walsh M, Devereaux PJ, Garg AX, et al. Relationship between intraoperative mean arterial pressure and clinical outcomes after noncardiac surgery: toward an empirical definition of hypotension. Anesthesiology. 2013;119(3):507–515. 17. Sun LY, Wijeysundera DN, Tait GA, Beattie WS. Association of intraoperative hypotension with acute kidney injury after elective noncardiac surgery. Anesthesiology. 2015;123(3):515–523. doi:10.1097/ALN.0000000000000765. 18. Saugel B, Fletcher N, Gan TJ, Grocott MPW, Myles PS, Sessler DI, et al. PeriOperative Quality Initiative (POQI) international consensus statement on perioperative arterial pressure management. Br J Anaesth. 2024;133(2):264–276. doi:10.1016/j.bja.2024.04.046.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4421"/>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4421"/>
                    </a:xfrm>
                    <a:prstGeom prst="rect"/>
                  </pic:spPr>
                </pic:pic>
              </a:graphicData>
            </a:graphic>
          </wp:inline>
        </w:drawing>
      </w:r>
    </w:p>
    <w:p>
      <w:r>
        <w:t>showing exclusions for implausible operating room window (n = 8), operating room window shorter than 60 minutes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884536"/>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884536"/>
                    </a:xfrm>
                    <a:prstGeom prst="rect"/>
                  </pic:spPr>
                </pic:pic>
              </a:graphicData>
            </a:graphic>
          </wp:inline>
        </w:drawing>
      </w:r>
    </w:p>
    <w:p>
      <w:r>
        <w:t>with the primary definition D1 highlighted.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8272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8272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902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902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70527"/>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70527"/>
                    </a:xfrm>
                    <a:prstGeom prst="rect"/>
                  </pic:spPr>
                </pic:pic>
              </a:graphicData>
            </a:graphic>
          </wp:inline>
        </w:drawing>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