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TRIPOD+AI (2024) checklist — 01 SIS intraoperative hypotension prediction</w:t>
      </w:r>
    </w:p>
    <w:p>
      <w:r>
        <w:rPr>
          <w:b w:val="0"/>
          <w:i/>
        </w:rPr>
        <w:t xml:space="preserve">Status legend: </w:t>
      </w:r>
      <w:r>
        <w:rPr>
          <w:b/>
          <w:i/>
        </w:rPr>
        <w:t>Met</w:t>
      </w:r>
      <w:r>
        <w:rPr>
          <w:b w:val="0"/>
          <w:i/>
        </w:rPr>
        <w:t xml:space="preserve"> = satisfied / backed by a product file; </w:t>
      </w:r>
      <w:r>
        <w:rPr>
          <w:b/>
          <w:i/>
        </w:rPr>
        <w:t>Partial</w:t>
      </w:r>
      <w:r>
        <w:rPr>
          <w:b w:val="0"/>
          <w:i/>
        </w:rPr>
        <w:t xml:space="preserve"> = partly met / needs author follow-up; </w:t>
      </w:r>
      <w:r>
        <w:rPr>
          <w:b/>
          <w:i/>
        </w:rPr>
        <w:t>To-do</w:t>
      </w:r>
      <w:r>
        <w:rPr>
          <w:b w:val="0"/>
          <w:i/>
        </w:rPr>
        <w:t xml:space="preserve"> = pending (manuscript stage).</w:t>
      </w:r>
    </w:p>
    <w:p>
      <w:r>
        <w:rPr>
          <w:b w:val="0"/>
          <w:i/>
        </w:rPr>
        <w:t>Each item cites "manuscript section / product file" for pre-submission verification.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TRIPOD+AI item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Location / 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Title: identified as a prediction-model study (with ML)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manuscript_v0.1.md title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Abstract: structured, with data source, model, performance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structured abstract completed (within 350 words)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Objectives: clear clinical question and prediction target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protocol §1; post-anchor cumulative IOH burden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Data sources: source, period, retrieval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`s1_cohort.json`; SIS EMR nine tables, 2015-11 to 2018-10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Eligibility: inclusion / exclusion criteria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protocol §2; `s1_cohort.json` (cohort waterfall and self-consistency)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Outcome: definition and ascertainment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protocol §3; 14-definition sensitivity matrix `s1_outcomes_postanchor.json`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Predictors: all candidate predictors, definitions, timing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`s2_feature_dictionary.json` (206 features, domain / source / window per feature)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Temporal / leakage: predictors must precede prediction time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Met (strong)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`s2_data_quality.json.leakage_audit`: every domain `max_used_time_minus_anchor ≤ 0`, ALL_PASS = True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Missing data: handling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native NaN for tree models; median imputation + missing indicators for logistic (`s3_models.py`)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Statistical / ML methods: model family, hyperparameters, software versions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`s3_metrics.json` (fixed seed / hyperparameters); config `runtime` records versions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Sample size / EPV: justification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 = 16,861, events 2,622 (adequate EPV); see `s1_outcomes_postanchor.json`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Validation: internal / external strategy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patient-level (primary) + temporal (secondary); `s3_metrics.json`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Performance measures: primary metric and uncertainty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primary AUPRC; 1,000-bootstrap 95% CI; `s3_metrics.json`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Calibration: assessment and method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OOF isotonic; `s3_calib_dca.json` (logit-slope 0.9087, intercept −0.1831)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Clinical utility: decision curve / net benefit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DCA; `s3_calib_dca.json.dca`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Participants: participant characteristics described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`s2_data_quality.json` (demographics / BMI / procedure-group distributions)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Model specification: final model obtainable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scripts + products fully reproducible; code repository recommended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Subgroups: subgroup performance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`s3_subgroups.json` (sex / age / BMI)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Limitations: limitations (incl. bias sources)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protocol §9; report §8 (Limitations 1–14)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Interpretation: clinical interpretability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`s3_feature_importance.json` (MAP-dominated, internally consistent)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Ethics / IRB: approval and consent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Partial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retrospective de-identified data; author must confirm institutional IRB 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Data availability: data and code obtainable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Partial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products complete; real repository URL / DOI required (never "available on request")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Funding / COI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To-do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author to supply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Registration: study registration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Partial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protocol versioned; three design decisions signed-off and frozen (2026-10-20); pre-registration number recommended before submission</w:t>
            </w:r>
          </w:p>
        </w:tc>
      </w:tr>
    </w:tbl>
    <w:p>
      <w:pPr>
        <w:pStyle w:val="Heading2"/>
      </w:pPr>
      <w:r>
        <w:rPr>
          <w:b w:val="0"/>
        </w:rPr>
        <w:t>Blocking pre-submission gaps (2)</w:t>
      </w:r>
    </w:p>
    <w:p>
      <w:pPr>
        <w:pStyle w:val="ListNumber"/>
      </w:pPr>
      <w:r>
        <w:rPr>
          <w:b/>
        </w:rPr>
        <w:t>Ethics / IRB status</w:t>
      </w:r>
      <w:r>
        <w:rPr>
          <w:b w:val="0"/>
        </w:rPr>
        <w:t xml:space="preserve"> must be confirmed in writing by the author (item 21): retrospective waiver / filing letter (no number, no date; route B honestly declared).</w:t>
      </w:r>
    </w:p>
    <w:p>
      <w:pPr>
        <w:pStyle w:val="ListNumber"/>
      </w:pPr>
      <w:r>
        <w:rPr>
          <w:b/>
        </w:rPr>
        <w:t>Public data / code</w:t>
      </w:r>
      <w:r>
        <w:rPr>
          <w:b w:val="0"/>
        </w:rPr>
        <w:t xml:space="preserve"> must resolve to a real repository URL (item 22); "available on request" is prohibited (real named-repository URL already used).</w:t>
      </w:r>
    </w:p>
    <w:p>
      <w:pPr>
        <w:pStyle w:val="Heading2"/>
      </w:pPr>
      <w:r>
        <w:rPr>
          <w:b w:val="0"/>
        </w:rPr>
        <w:t>Closed</w:t>
      </w:r>
    </w:p>
    <w:p>
      <w:pPr>
        <w:pStyle w:val="ListBullet"/>
      </w:pPr>
      <w:r>
        <w:rPr>
          <w:b/>
        </w:rPr>
        <w:t>Three design decisions signed-off and frozen (2026-10-20)</w:t>
      </w:r>
      <w:r>
        <w:rPr>
          <w:b w:val="0"/>
        </w:rPr>
        <w:t>: primary outcome D1, prediction anchor Intubation, procedure-group mapping table.</w:t>
      </w:r>
    </w:p>
    <w:p>
      <w:pPr>
        <w:pStyle w:val="ListBullet"/>
      </w:pPr>
      <w:r>
        <w:rPr>
          <w:b w:val="0"/>
        </w:rPr>
        <w:t>Manuscript passed an independent 4-reviewer panel (Round-6) and a consistency gate (13/13: abstract ≤350 words, 18 contiguous references, 8 tables / 6 figures in docx, no placeholders, anchor &amp; external blocks present, all 16 product-derived model metrics present, DCA net benefit @0.15 = 0.051 / 0.058 with correct sign, Limitations 1–14). Round-7 verification corrected the abstract and Table 4 to exact product values (baseline AUPRC 0.233, LightGBM AUPRC 0.338).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