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cumulative intraoperative hypotension burden from data available at anaesthesia induction: development and internal validation in MOVER/SIS with external validation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machine-learning performance varies widely, and near-perfect discrimination has been claimed on public datasets with sparse blood-pressure recordings. We developed and validated (internally and externally)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82.1%; otherwise surgery start, 17.9%).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AUPRC was the primary metric; AUROC, Brier and 1,000 bootstrap confidence intervals were secondary;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Performance was higher in women and younger patients; pre-anchor mean MAP was the dominant predictor. Externally (VitalDB, prevalence 5.7%), the unchanged model retained discrimination (AUROC 0.751, 95% CI 0.713–0.784; AUPRC 0.160, 0.129–0.202) but probabilities were uncalibrated; for the 53-feature model internal AUROC was 0.698–0.710, and because the external anchor (operation start) postdates induction, this is a transportability check, not a like-for-like validation.</w:t>
      </w:r>
    </w:p>
    <w:p>
      <w:r>
        <w:rPr>
          <w:b/>
        </w:rPr>
        <w:t>Conclusions:</w:t>
      </w:r>
      <w:r>
        <w:t xml:space="preserve"> An anchor-based model using routinely recorded pre-induction data achieved modest but non-null discrimination for cumulative hypotension burden and was well calibrated. External validation confirmed transfer of discrimination but not of absolute probabilities, requiring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validate (internally and externally)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82.1%). Where no intubation event existed, Surgery start was used as a proxy (n = 3,027; 17.9%).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that adopts the absolute MAP threshold (&lt;65 mmHg) of Salmasi et al. [1] but operationalises burden as at least 10 MAP measurements after the anchor, of which at least 30% were below threshold; the ≥10-measurement and ≥30%-below rule is our operational choice rather than a literal transcription of that report.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identically over [opstart, opend]. Of 6,388 VitalDB cases, 3,735 had both valid opstart/opend times and an arterial mean arterial pressure track (Solar8000/ART_MBP or EV1000/ART_MBP)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 a residual source of transportability error.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(82.1)</w:t>
            </w:r>
          </w:p>
        </w:tc>
      </w:tr>
      <w:tr>
        <w:tc>
          <w:tcPr>
            <w:tcW w:type="dxa" w:w="4320"/>
          </w:tcPr>
          <w:p>
            <w:r/>
            <w:r>
              <w:t>Anchor = Surgery start (proxy) — n (%)</w:t>
            </w:r>
          </w:p>
        </w:tc>
        <w:tc>
          <w:tcPr>
            <w:tcW w:type="dxa" w:w="4320"/>
          </w:tcPr>
          <w:p>
            <w:r/>
            <w:r>
              <w:t>3,027 (17.9)</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indicating well-calibrated probabilities on the log-odds scale. On the temporal split the Brier score improved from 0.194 to 0.122, with slope 0.934 and intercept 0.006.</w:t>
      </w:r>
    </w:p>
    <w:p>
      <w:r>
        <w:t>In decision curve analysis, the calibrated model's net benefit exceeded that of the "treat none" strategy at low-to-moderate thresholds, remaining positive up to approximately 0.58 on the patient-level split and 0.46 on the temporal split; on the temporal split it then became negative between roughly 0.46 and 0.66 and returned briefly to positive only between approximately 0.66 and 0.74 before turning negative again.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(e.g., 0.050 and 0.058 at 0.15 on the two splits, and 0.079 and 0.085 at 0.10), so the clinical usefulness demonstrated by the curve is modest. At a threshold of 0.15, close to the outcome prevalence, net benefit was 0.050 and 0.058 respectively; at a threshold of 0.10 it was 0.079 and 0.085. In a benchmark against a logistic model using the pre-anchor mean MAP alone, the full model's incremental net benefit was 0.013 at both thresholds 0.10 and 0.15 (Figure 4).</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98 cases in the patient-level test-set stratum (512 in the full cohort) the estimate should be regarded as unstable.</w:t>
      </w:r>
    </w:p>
    <w:p>
      <w:r>
        <w:rPr>
          <w:b/>
        </w:rPr>
        <w:t>Table 5. AUPRC of XGBoost by subgroup (held-out test set).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 (test)</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1,689</w:t>
            </w:r>
          </w:p>
        </w:tc>
        <w:tc>
          <w:tcPr>
            <w:tcW w:type="dxa" w:w="2160"/>
          </w:tcPr>
          <w:p>
            <w:r/>
            <w:r>
              <w:t>0.299</w:t>
            </w:r>
          </w:p>
        </w:tc>
        <w:tc>
          <w:tcPr>
            <w:tcW w:type="dxa" w:w="2160"/>
          </w:tcPr>
          <w:p>
            <w:r/>
            <w:r>
              <w:t>0.267</w:t>
            </w:r>
          </w:p>
        </w:tc>
      </w:tr>
      <w:tr>
        <w:tc>
          <w:tcPr>
            <w:tcW w:type="dxa" w:w="2160"/>
          </w:tcPr>
          <w:p>
            <w:r/>
            <w:r>
              <w:t>Women</w:t>
            </w:r>
          </w:p>
        </w:tc>
        <w:tc>
          <w:tcPr>
            <w:tcW w:type="dxa" w:w="2160"/>
          </w:tcPr>
          <w:p>
            <w:r/>
            <w:r>
              <w:t>1,684</w:t>
            </w:r>
          </w:p>
        </w:tc>
        <w:tc>
          <w:tcPr>
            <w:tcW w:type="dxa" w:w="2160"/>
          </w:tcPr>
          <w:p>
            <w:r/>
            <w:r>
              <w:t>0.357</w:t>
            </w:r>
          </w:p>
        </w:tc>
        <w:tc>
          <w:tcPr>
            <w:tcW w:type="dxa" w:w="2160"/>
          </w:tcPr>
          <w:p>
            <w:r/>
            <w:r>
              <w:t>0.370</w:t>
            </w:r>
          </w:p>
        </w:tc>
      </w:tr>
      <w:tr>
        <w:tc>
          <w:tcPr>
            <w:tcW w:type="dxa" w:w="2160"/>
          </w:tcPr>
          <w:p>
            <w:r/>
            <w:r>
              <w:t>Age &lt; 50 years</w:t>
            </w:r>
          </w:p>
        </w:tc>
        <w:tc>
          <w:tcPr>
            <w:tcW w:type="dxa" w:w="2160"/>
          </w:tcPr>
          <w:p>
            <w:r/>
            <w:r>
              <w:t>1,402</w:t>
            </w:r>
          </w:p>
        </w:tc>
        <w:tc>
          <w:tcPr>
            <w:tcW w:type="dxa" w:w="2160"/>
          </w:tcPr>
          <w:p>
            <w:r/>
            <w:r>
              <w:t>0.380</w:t>
            </w:r>
          </w:p>
        </w:tc>
        <w:tc>
          <w:tcPr>
            <w:tcW w:type="dxa" w:w="2160"/>
          </w:tcPr>
          <w:p>
            <w:r/>
            <w:r>
              <w:t>0.377</w:t>
            </w:r>
          </w:p>
        </w:tc>
      </w:tr>
      <w:tr>
        <w:tc>
          <w:tcPr>
            <w:tcW w:type="dxa" w:w="2160"/>
          </w:tcPr>
          <w:p>
            <w:r/>
            <w:r>
              <w:t>Age 50–64 years</w:t>
            </w:r>
          </w:p>
        </w:tc>
        <w:tc>
          <w:tcPr>
            <w:tcW w:type="dxa" w:w="2160"/>
          </w:tcPr>
          <w:p>
            <w:r/>
            <w:r>
              <w:t>1,044</w:t>
            </w:r>
          </w:p>
        </w:tc>
        <w:tc>
          <w:tcPr>
            <w:tcW w:type="dxa" w:w="2160"/>
          </w:tcPr>
          <w:p>
            <w:r/>
            <w:r>
              <w:t>0.324</w:t>
            </w:r>
          </w:p>
        </w:tc>
        <w:tc>
          <w:tcPr>
            <w:tcW w:type="dxa" w:w="2160"/>
          </w:tcPr>
          <w:p>
            <w:r/>
            <w:r>
              <w:t>0.305</w:t>
            </w:r>
          </w:p>
        </w:tc>
      </w:tr>
      <w:tr>
        <w:tc>
          <w:tcPr>
            <w:tcW w:type="dxa" w:w="2160"/>
          </w:tcPr>
          <w:p>
            <w:r/>
            <w:r>
              <w:t>Age ≥ 65 years</w:t>
            </w:r>
          </w:p>
        </w:tc>
        <w:tc>
          <w:tcPr>
            <w:tcW w:type="dxa" w:w="2160"/>
          </w:tcPr>
          <w:p>
            <w:r/>
            <w:r>
              <w:t>927</w:t>
            </w:r>
          </w:p>
        </w:tc>
        <w:tc>
          <w:tcPr>
            <w:tcW w:type="dxa" w:w="2160"/>
          </w:tcPr>
          <w:p>
            <w:r/>
            <w:r>
              <w:t>0.186</w:t>
            </w:r>
          </w:p>
        </w:tc>
        <w:tc>
          <w:tcPr>
            <w:tcW w:type="dxa" w:w="2160"/>
          </w:tcPr>
          <w:p>
            <w:r/>
            <w:r>
              <w:t>0.194</w:t>
            </w:r>
          </w:p>
        </w:tc>
      </w:tr>
      <w:tr>
        <w:tc>
          <w:tcPr>
            <w:tcW w:type="dxa" w:w="2160"/>
          </w:tcPr>
          <w:p>
            <w:r/>
            <w:r>
              <w:t>BMI &lt; 18.5 kg/m²</w:t>
            </w:r>
          </w:p>
        </w:tc>
        <w:tc>
          <w:tcPr>
            <w:tcW w:type="dxa" w:w="2160"/>
          </w:tcPr>
          <w:p>
            <w:r/>
            <w:r>
              <w:t>98</w:t>
            </w:r>
          </w:p>
        </w:tc>
        <w:tc>
          <w:tcPr>
            <w:tcW w:type="dxa" w:w="2160"/>
          </w:tcPr>
          <w:p>
            <w:r/>
            <w:r>
              <w:t>0.616</w:t>
            </w:r>
          </w:p>
        </w:tc>
        <w:tc>
          <w:tcPr>
            <w:tcW w:type="dxa" w:w="2160"/>
          </w:tcPr>
          <w:p>
            <w:r/>
            <w:r>
              <w:t>0.382</w:t>
            </w:r>
          </w:p>
        </w:tc>
      </w:tr>
      <w:tr>
        <w:tc>
          <w:tcPr>
            <w:tcW w:type="dxa" w:w="2160"/>
          </w:tcPr>
          <w:p>
            <w:r/>
            <w:r>
              <w:t>BMI 18.5–24.9 kg/m²</w:t>
            </w:r>
          </w:p>
        </w:tc>
        <w:tc>
          <w:tcPr>
            <w:tcW w:type="dxa" w:w="2160"/>
          </w:tcPr>
          <w:p>
            <w:r/>
            <w:r>
              <w:t>1,202</w:t>
            </w:r>
          </w:p>
        </w:tc>
        <w:tc>
          <w:tcPr>
            <w:tcW w:type="dxa" w:w="2160"/>
          </w:tcPr>
          <w:p>
            <w:r/>
            <w:r>
              <w:t>0.392</w:t>
            </w:r>
          </w:p>
        </w:tc>
        <w:tc>
          <w:tcPr>
            <w:tcW w:type="dxa" w:w="2160"/>
          </w:tcPr>
          <w:p>
            <w:r/>
            <w:r>
              <w:t>0.354</w:t>
            </w:r>
          </w:p>
        </w:tc>
      </w:tr>
      <w:tr>
        <w:tc>
          <w:tcPr>
            <w:tcW w:type="dxa" w:w="2160"/>
          </w:tcPr>
          <w:p>
            <w:r/>
            <w:r>
              <w:t>BMI 25–29.9 kg/m²</w:t>
            </w:r>
          </w:p>
        </w:tc>
        <w:tc>
          <w:tcPr>
            <w:tcW w:type="dxa" w:w="2160"/>
          </w:tcPr>
          <w:p>
            <w:r/>
            <w:r>
              <w:t>1,064</w:t>
            </w:r>
          </w:p>
        </w:tc>
        <w:tc>
          <w:tcPr>
            <w:tcW w:type="dxa" w:w="2160"/>
          </w:tcPr>
          <w:p>
            <w:r/>
            <w:r>
              <w:t>0.286</w:t>
            </w:r>
          </w:p>
        </w:tc>
        <w:tc>
          <w:tcPr>
            <w:tcW w:type="dxa" w:w="2160"/>
          </w:tcPr>
          <w:p>
            <w:r/>
            <w:r>
              <w:t>0.306</w:t>
            </w:r>
          </w:p>
        </w:tc>
      </w:tr>
      <w:tr>
        <w:tc>
          <w:tcPr>
            <w:tcW w:type="dxa" w:w="2160"/>
          </w:tcPr>
          <w:p>
            <w:r/>
            <w:r>
              <w:t>BMI ≥ 30 kg/m²</w:t>
            </w:r>
          </w:p>
        </w:tc>
        <w:tc>
          <w:tcPr>
            <w:tcW w:type="dxa" w:w="2160"/>
          </w:tcPr>
          <w:p>
            <w:r/>
            <w:r>
              <w:t>977</w:t>
            </w:r>
          </w:p>
        </w:tc>
        <w:tc>
          <w:tcPr>
            <w:tcW w:type="dxa" w:w="2160"/>
          </w:tcPr>
          <w:p>
            <w:r/>
            <w:r>
              <w:t>0.257</w:t>
            </w:r>
          </w:p>
        </w:tc>
        <w:tc>
          <w:tcPr>
            <w:tcW w:type="dxa" w:w="2160"/>
          </w:tcPr>
          <w:p>
            <w:r/>
            <w:r>
              <w:t>0.330</w:t>
            </w:r>
          </w:p>
        </w:tc>
      </w:tr>
    </w:tbl>
    <w:p/>
    <w:p>
      <w:r>
        <w:t>n denotes the number of cases in the held-out test set on which each subgroup AUPRC was computed (patient-level split: 3,373; temporal split: 1,818). Subgroup AUPRCs are exploratory given the reduced event counts within strata; for example, the underweight stratum comprised 98 patient-level test-set cases (512 in the full cohort).</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validation</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0.751 (95% CI 0.713–0.784), numerically above the internal patient-level value of 0.698 and the temporal value of 0.710 for the same 53-feature model, although the confidence intervals overlap (0.713–0.784 vs 0.673–0.723 and 0.679–0.740), so the difference should be read as consistency rather than superiority. The external AUPRC of 0.160 (0.129–0.202)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0.37 against an observed prevalence of 0.057 (external Brier score 0.179), indicating that the model would require local recalibration before the predicted probabilities could be used directly. These results are summarised in Figure 6 and Table 7.</w:t>
      </w:r>
    </w:p>
    <w:p>
      <w:r>
        <w:rPr>
          <w:b/>
        </w:rPr>
        <w:t>Table 7. External validation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15.55</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0.160 (0.129–0.202)</w:t>
            </w:r>
          </w:p>
        </w:tc>
        <w:tc>
          <w:tcPr>
            <w:tcW w:type="dxa" w:w="1080"/>
          </w:tcPr>
          <w:p>
            <w:r/>
            <w:r>
              <w:t>0.751 (0.713–0.784)</w:t>
            </w:r>
          </w:p>
        </w:tc>
        <w:tc>
          <w:tcPr>
            <w:tcW w:type="dxa" w:w="1080"/>
          </w:tcPr>
          <w:p>
            <w:r/>
            <w:r>
              <w:t>0.179</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approximately 0.58 (patient-level) and 0.46 (temporal); on the temporal split the net benefit turns negative beyond 0.46 except for a narrow positive interval near 0.66–0.74.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external-validation studies [14,15]. We now provide such an external validation ourselves, in VitalDB, an independent resource with a different recording architecture; the model's ranking ability transferred (external AUROC 0.751, in the same range as and overlapping the confidence interval of the internal 0.698–0.710 for the same 53-feature model) while absolute probabilities did not and would require local recalibration —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 the interval from operation start to the prediction anchor —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(0.751) indicates that ranking transferred, although its confidence interval overlaps the internal interval. Predicted probabilities were not calibrated to the external cohort (mean predicted risk 0.37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17.9%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This is a spectrum effect: the excluded cases are exactly those with the sparsest monitoring (typically shorter or less-invasive cases) and are therefore not missing at random. The conditional prevalence among cases with at least 10 measurements was 17.1% (2,622 of 15,365), and excluding the sparse-monitoring cases may attenuate apparent performance.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recording density,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0.751 should therefore be read as evidence that ranking transferred under a denser measurement regime, not as evidence of intrinsically better discrimination than the development cohort.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w:t>
      </w:r>
    </w:p>
    <w:p>
      <w:pPr>
        <w:pStyle w:val="Heading2"/>
      </w:pPr>
      <w:r>
        <w:t>What this study adds</w:t>
      </w:r>
    </w:p>
    <w:p>
      <w:r>
        <w:t>Beyond the modest absolute performance, this study contributes four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zero residual horizon overlap (maximum interval 0.00 minutes; no unparseable timestamps).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demonstrated to be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validation on an independent resource.</w:t>
      </w:r>
      <w:r>
        <w:t xml:space="preserve"> In VitalDB the model was applied unchanged; discrimination transferred (AUROC 0.751,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In an independent external cohort (VitalDB, n = 3,735) the same model retained discrimination (AUROC 0.751) without refitting — a transportability check rather than a like-for-like validation, because the external anchor (operation start) postdates induction — although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https://github.com/yyx-4113/mover-sis-ioh-prediction/releases/tag/v1.0.0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r>
        <w:rPr>
          <w:b/>
        </w:rPr>
        <w:t>Figure 6. External validation in VitalDB.</w:t>
      </w:r>
      <w:r>
        <w:t xml:space="preserve"> Receiver operating characteristic (left), precision–recall (centre) and predicted-risk distribution (right) for the MOVER core model applied unchanged to the VitalDB arterial cohort (n = 3,735; outcome prevalence 5.73%).</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