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development and internal validation in MOVER/SIS with external validation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machine-learning performance varies widely, and near-perfect discrimination has been claimed on public datasets with sparse blood-pressure recordings. We developed and validated (internally and externally)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AUPRC was the primary metric; AUROC, Brier and 1,000 bootstrap confidence intervals were secondary;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Performance was higher in women and younger patients; pre-anchor mean MAP was the dominant predictor. Externally (VitalDB, prevalence 5.7%), the unchanged model retained discrimination (AUROC 0.751, 95% CI 0.713–0.784; AUPRC 0.160, 0.129–0.202) but probabilities were uncalibrated.</w:t>
      </w:r>
    </w:p>
    <w:p>
      <w:r>
        <w:rPr>
          <w:b/>
        </w:rPr>
        <w:t>Conclusions:</w:t>
      </w:r>
      <w:r>
        <w:t xml:space="preserve"> An anchor-based model using routinely recorded pre-induction data achieved modest but non-null discrimination for cumulative hypotension burden and was well calibrated. External validation confirmed transfer of discrimination but not of absolute probabilities, which would require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validate (internally and externally)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External validation cohort</w:t>
      </w:r>
    </w:p>
    <w:p>
      <w:r>
        <w:t>To test generalisability beyond the development site, the MOVER core model was applied unchanged to VitalDB [19], an independent public database of high-fidelity vital signs from surgical patients at a single tertiary centre (Seoul National University Hospital, Republic of Korea), accessed through its public application programming interface without authentication. Because VitalDB records no intubation event, the prediction anchor was adapted from the MOVER intubation anchor to the operation start time (opstart), the closest available analogue, and the outcome D1 was computed identically over the window [opstart, opend]. The external cohort comprised cases with an arterial mean arterial pressure track (Solar8000/ART_MBP or EV1000/ART_MBP) and valid opstart/opend times (n = 3,735). Predictors were restricted to the 53-feature transportable subset (demographics and pre-anchor 15-minute vital-sign statistics) available in both resources; MOVER-specific timing signals (anchor is intubation, intubation event recorded) and the calendar-year indicator, which are not derivable from VitalDB, were set to zero.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both default strategies (treat all, treat none) across the evaluated threshold range, remaining positive up to a threshold of 0.58 on the patient-level split and 0.73 on the temporal split (with a transient dip near 0.67 on the temporal split).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validation</w:t>
      </w:r>
    </w:p>
    <w:p>
      <w:r>
        <w:t>The MOVER core model was applied without refitting to the VitalDB arterial cohort of 3,735 cases, of which 214 (5.73%) met the D1 outcome (Table 7). Discrimination transferred: the external AUROC was 0.751 (95% CI 0.713–0.784), numerically above the internal patient-level value of 0.698 and the temporal value of 0.710 for the same 53-feature model, and the external AUPRC of 0.160 (0.129–0.202)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validation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15.55</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0.160 (0.129–0.202)</w:t>
            </w:r>
          </w:p>
        </w:tc>
        <w:tc>
          <w:tcPr>
            <w:tcW w:type="dxa" w:w="1080"/>
          </w:tcPr>
          <w:p>
            <w:r/>
            <w:r>
              <w:t>0.751 (0.713–0.784)</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We now provide such an external validation ourselves, in VitalDB, an independent resource with a different recording architecture; the model's ranking ability transferred (external AUROC 0.751, above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with necessary adaptations and shows transfer of discrimination but not of calibration.</w:t>
      </w:r>
      <w:r>
        <w:t xml:space="preserve"> The model was validated externally in VitalDB without refitting or recalibrating; the anchor was adapted from intubation to operation start (VitalDB records no intubation event) and MOVER-specific timing signals were set to zero. The external cohort had a substantially lower outcome prevalence (5.73% vs 15.55%) and a different recording architecture (continuous arterial pressure rather than intermittent non-invasive measurement), so the external AUPRC cannot be compared directly with the internal value; the external AUROC (0.751) indicates that ranking transferred.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2"/>
      </w:pPr>
      <w:r>
        <w:t>What this study adds</w:t>
      </w:r>
    </w:p>
    <w:p>
      <w:r>
        <w:t>Beyond the modest absolute performance, this study contributes four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zero residual horizon overlap (maximum interval 0.00 minutes; no unparseable timestamps).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validation on an independent resource.</w:t>
      </w:r>
      <w:r>
        <w:t xml:space="preserve"> In VitalDB the model was applied unchanged; discrimination transferred (AUROC 0.751, exceeding the internal 0.698–0.710 for the same feature set) while calibration did not, isolating exactly what does and does not generalise and supplying a concrete deployment requirement (local recalibration) rather than an abstract "needs external validation" caveat.</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0.751) without refitting,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at deployment,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 19. Lee S, Park J, Lee S, Park Y, Kim S, Kim T, et al. VitalDB, a high-fidelity vital signs database in surgical patients. Sci Data. 2022;9:279. doi:10.1038/s41597-022-01794-9.</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validation in VitalDB.</w:t>
      </w:r>
      <w:r>
        <w:t xml:space="preserve"> Receiver operating characteristic (left), precision–recall (centre) and predicted-risk distribution (right) for the MOVER core model applied unchanged to the VitalDB arterial cohort (n = 3,735; outcome prevalence 5.73%).</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