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intraoperative hypotension exposure from data available at anaesthesia induction: development and internal validation in MOVER/SIS with an external transportability check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960856791@qq.com</w:t>
      </w:r>
    </w:p>
    <w:p>
      <w:pPr>
        <w:pStyle w:val="Heading1"/>
      </w:pPr>
      <w:r>
        <w:t>Abstract</w:t>
      </w:r>
    </w:p>
    <w:p>
      <w:r>
        <w:rPr>
          <w:b/>
        </w:rPr>
        <w:t>Background:</w:t>
      </w:r>
      <w:r>
        <w:t xml:space="preserve"> Intraoperative hypotension is associated with kidney and myocardial injury. Machine-learning performance estimates vary widely. We developed and internally validated a model predicting hypotensive exposure (at least 30% of recorded post-anchor mean arterial pressure readings below 65 mmHg) over the remainder of surgery from data available at the anaesthesia induction anchor, and examined its transportability in an external cohort.</w:t>
      </w:r>
    </w:p>
    <w:p>
      <w:r>
        <w:rPr>
          <w:b/>
        </w:rPr>
        <w:t>Methods:</w:t>
      </w:r>
      <w:r>
        <w:t xml:space="preserve"> Retrospective cohort from MOVER/SIS. Of 19,114 screened records, 16,861 adult cases had a valid anchor (first intubation event, 82.0%; otherwise surgery start, 18.0%).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as a transportability check. AUPRC was the primary metric; AUROC and Brier score were secondary; 95% confidence intervals came from 1,000 bootstrap resamples;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0.233 (baseline), 0.301 (full logistic) and 0.338 (LightGBM); on the temporal split it achieved 0.339 (0.291–0.395) and 0.733 (0.703–0.762). Isotonic recalibration improved the Brier score from 0.191 to 0.119. Subgroup AUPRC tracked stratum prevalence; pre-anchor mean MAP was the dominant predictor. Externally (VitalDB, prevalence 5.73%), the unchanged model retained discrimination (AUROC 0.744, 95% CI 0.705–0.778; AUPRC 0.158, 0.126–0.202) but probabilities were uncalibrated; the 53-feature internal AUROC was 0.698–0.710, confirming transportability rather than like-for-like validation.</w:t>
      </w:r>
    </w:p>
    <w:p>
      <w:r>
        <w:rPr>
          <w:b/>
        </w:rPr>
        <w:t>Conclusions:</w:t>
      </w:r>
      <w:r>
        <w:t xml:space="preserve"> An anchor-based model using routinely recorded pre-induction data achieved modest but non-null discrimination for intraoperative hypotensive exposure and was well calibrated. An external transportability check in VitalDB supported transfer of ranking but not of absolute probabilities, requiring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machine-learning Hypotension Prediction Index [19],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We therefore set out to develop and internally validate a model for intraoperative hypotensive exposure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with the qualification that the external step is a transportability check rather than a like-for-like validation, because the external anchor, endpoint definition and recording density differ from the development cohort.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1,332 with 1–9 readings and 164 with no post-anchor MAP recording at all,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below the commonly cited 10-events-per-parameter heuristic [20]),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in keeping with current guidance on calibration assessment [21].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(median, IQR)</w:t>
            </w:r>
          </w:p>
        </w:tc>
        <w:tc>
          <w:tcPr>
            <w:tcW w:type="dxa" w:w="4320"/>
          </w:tcPr>
          <w:p>
            <w:r/>
            <w:r>
              <w:t>54 (39–66)</w:t>
            </w:r>
          </w:p>
        </w:tc>
      </w:tr>
      <w:tr>
        <w:tc>
          <w:tcPr>
            <w:tcW w:type="dxa" w:w="4320"/>
          </w:tcPr>
          <w:p>
            <w:r/>
            <w:r>
              <w:t>Male sex, n (%)</w:t>
            </w:r>
          </w:p>
        </w:tc>
        <w:tc>
          <w:tcPr>
            <w:tcW w:type="dxa" w:w="4320"/>
          </w:tcPr>
          <w:p>
            <w:r/>
            <w:r>
              <w:t>8,355 (49.6)</w:t>
            </w:r>
          </w:p>
        </w:tc>
      </w:tr>
      <w:tr>
        <w:tc>
          <w:tcPr>
            <w:tcW w:type="dxa" w:w="4320"/>
          </w:tcPr>
          <w:p>
            <w:r/>
            <w:r>
              <w:t>Female sex, n (%)</w:t>
            </w:r>
          </w:p>
        </w:tc>
        <w:tc>
          <w:tcPr>
            <w:tcW w:type="dxa" w:w="4320"/>
          </w:tcPr>
          <w:p>
            <w:r/>
            <w:r>
              <w:t>8,502 (50.4)</w:t>
            </w:r>
          </w:p>
        </w:tc>
      </w:tr>
      <w:tr>
        <w:tc>
          <w:tcPr>
            <w:tcW w:type="dxa" w:w="4320"/>
          </w:tcPr>
          <w:p>
            <w:r/>
            <w:r>
              <w:t>Sex unknown, n (%)</w:t>
            </w:r>
          </w:p>
        </w:tc>
        <w:tc>
          <w:tcPr>
            <w:tcW w:type="dxa" w:w="4320"/>
          </w:tcPr>
          <w:p>
            <w:r/>
            <w:r>
              <w:t>4 (&lt;0.1)</w:t>
            </w:r>
          </w:p>
        </w:tc>
      </w:tr>
      <w:tr>
        <w:tc>
          <w:tcPr>
            <w:tcW w:type="dxa" w:w="4320"/>
          </w:tcPr>
          <w:p>
            <w:r/>
            <w:r>
              <w:t>Height, cm (median, IQR)</w:t>
            </w:r>
          </w:p>
        </w:tc>
        <w:tc>
          <w:tcPr>
            <w:tcW w:type="dxa" w:w="4320"/>
          </w:tcPr>
          <w:p>
            <w:r/>
            <w:r>
              <w:t>167 (160–175)</w:t>
            </w:r>
          </w:p>
        </w:tc>
      </w:tr>
      <w:tr>
        <w:tc>
          <w:tcPr>
            <w:tcW w:type="dxa" w:w="4320"/>
          </w:tcPr>
          <w:p>
            <w:r/>
            <w:r>
              <w:t>Weight, kg (median, IQR)</w:t>
            </w:r>
          </w:p>
        </w:tc>
        <w:tc>
          <w:tcPr>
            <w:tcW w:type="dxa" w:w="4320"/>
          </w:tcPr>
          <w:p>
            <w:r/>
            <w:r>
              <w:t>76 (63–90)</w:t>
            </w:r>
          </w:p>
        </w:tc>
      </w:tr>
      <w:tr>
        <w:tc>
          <w:tcPr>
            <w:tcW w:type="dxa" w:w="4320"/>
          </w:tcPr>
          <w:p>
            <w:r/>
            <w:r>
              <w:t>Body mass index, kg/m² (median, IQR)</w:t>
            </w:r>
          </w:p>
        </w:tc>
        <w:tc>
          <w:tcPr>
            <w:tcW w:type="dxa" w:w="4320"/>
          </w:tcPr>
          <w:p>
            <w:r/>
            <w:r>
              <w:t>26.6 (23.1–30.9)</w:t>
            </w:r>
          </w:p>
        </w:tc>
      </w:tr>
      <w:tr>
        <w:tc>
          <w:tcPr>
            <w:tcW w:type="dxa" w:w="4320"/>
          </w:tcPr>
          <w:p>
            <w:r/>
            <w:r>
              <w:t>Anchor = Intubation, n (%)</w:t>
            </w:r>
          </w:p>
        </w:tc>
        <w:tc>
          <w:tcPr>
            <w:tcW w:type="dxa" w:w="4320"/>
          </w:tcPr>
          <w:p>
            <w:r/>
            <w:r>
              <w:t>13,834 (82.0)</w:t>
            </w:r>
          </w:p>
        </w:tc>
      </w:tr>
      <w:tr>
        <w:tc>
          <w:tcPr>
            <w:tcW w:type="dxa" w:w="4320"/>
          </w:tcPr>
          <w:p>
            <w:r/>
            <w:r>
              <w:t>Anchor = Surgery start (proxy), n (%)</w:t>
            </w:r>
          </w:p>
        </w:tc>
        <w:tc>
          <w:tcPr>
            <w:tcW w:type="dxa" w:w="4320"/>
          </w:tcPr>
          <w:p>
            <w:r/>
            <w:r>
              <w:t>3,027 (18.0)</w:t>
            </w:r>
          </w:p>
        </w:tc>
      </w:tr>
      <w:tr>
        <w:tc>
          <w:tcPr>
            <w:tcW w:type="dxa" w:w="4320"/>
          </w:tcPr>
          <w:p>
            <w:r/>
            <w:r>
              <w:t>Anchor after OR start, min (median, IQR)</w:t>
            </w:r>
          </w:p>
        </w:tc>
        <w:tc>
          <w:tcPr>
            <w:tcW w:type="dxa" w:w="4320"/>
          </w:tcPr>
          <w:p>
            <w:r/>
            <w:r>
              <w:t>15 (11–24)</w:t>
            </w:r>
          </w:p>
        </w:tc>
      </w:tr>
      <w:tr>
        <w:tc>
          <w:tcPr>
            <w:tcW w:type="dxa" w:w="4320"/>
          </w:tcPr>
          <w:p>
            <w:r/>
            <w:r>
              <w:t>Post-anchor window, min (median, 5th–95th)</w:t>
            </w:r>
          </w:p>
        </w:tc>
        <w:tc>
          <w:tcPr>
            <w:tcW w:type="dxa" w:w="4320"/>
          </w:tcPr>
          <w:p>
            <w:r/>
            <w:r>
              <w:t>147 (49–440)</w:t>
            </w:r>
          </w:p>
        </w:tc>
      </w:tr>
      <w:tr>
        <w:tc>
          <w:tcPr>
            <w:tcW w:type="dxa" w:w="4320"/>
          </w:tcPr>
          <w:p>
            <w:r/>
            <w:r>
              <w:t>Pre-anchor MAP readings in 15-min window (median, IQR)</w:t>
            </w:r>
          </w:p>
        </w:tc>
        <w:tc>
          <w:tcPr>
            <w:tcW w:type="dxa" w:w="4320"/>
          </w:tcPr>
          <w:p>
            <w:r/>
            <w:r>
              <w:t>3 (2–4)</w:t>
            </w:r>
          </w:p>
        </w:tc>
      </w:tr>
      <w:tr>
        <w:tc>
          <w:tcPr>
            <w:tcW w:type="dxa" w:w="4320"/>
          </w:tcPr>
          <w:p>
            <w:r/>
            <w:r>
              <w:t>Pre-anchor mean MAP, mmHg (median, IQR)</w:t>
            </w:r>
          </w:p>
        </w:tc>
        <w:tc>
          <w:tcPr>
            <w:tcW w:type="dxa" w:w="4320"/>
          </w:tcPr>
          <w:p>
            <w:r/>
            <w:r>
              <w:t>87.7 (77.7–98.5)</w:t>
            </w:r>
          </w:p>
        </w:tc>
      </w:tr>
      <w:tr>
        <w:tc>
          <w:tcPr>
            <w:tcW w:type="dxa" w:w="4320"/>
          </w:tcPr>
          <w:p>
            <w:r/>
            <w:r>
              <w:t>Invasive arterial monitoring available, n (%)</w:t>
            </w:r>
          </w:p>
        </w:tc>
        <w:tc>
          <w:tcPr>
            <w:tcW w:type="dxa" w:w="4320"/>
          </w:tcPr>
          <w:p>
            <w:r/>
            <w:r>
              <w:t>2,503 (14.8)</w:t>
            </w:r>
          </w:p>
        </w:tc>
      </w:tr>
      <w:tr>
        <w:tc>
          <w:tcPr>
            <w:tcW w:type="dxa" w:w="4320"/>
          </w:tcPr>
          <w:p>
            <w:r/>
            <w:r>
              <w:t>Ventilation data available, n (%)</w:t>
            </w:r>
          </w:p>
        </w:tc>
        <w:tc>
          <w:tcPr>
            <w:tcW w:type="dxa" w:w="4320"/>
          </w:tcPr>
          <w:p>
            <w:r/>
            <w:r>
              <w:t>4,852 (28.8)</w:t>
            </w:r>
          </w:p>
        </w:tc>
      </w:tr>
      <w:tr>
        <w:tc>
          <w:tcPr>
            <w:tcW w:type="dxa" w:w="4320"/>
          </w:tcPr>
          <w:p>
            <w:r/>
            <w:r>
              <w:t>Pre-anchor laboratory results, n (%)</w:t>
            </w:r>
          </w:p>
        </w:tc>
        <w:tc>
          <w:tcPr>
            <w:tcW w:type="dxa" w:w="4320"/>
          </w:tcPr>
          <w:p>
            <w:r/>
            <w:r>
              <w:t>76 (0.45)</w:t>
            </w:r>
          </w:p>
        </w:tc>
      </w:tr>
      <w:tr>
        <w:tc>
          <w:tcPr>
            <w:tcW w:type="dxa" w:w="4320"/>
          </w:tcPr>
          <w:p>
            <w:r/>
            <w:r>
              <w:t>Pre-anchor fluid/intake-output records, n (%)</w:t>
            </w:r>
          </w:p>
        </w:tc>
        <w:tc>
          <w:tcPr>
            <w:tcW w:type="dxa" w:w="4320"/>
          </w:tcPr>
          <w:p>
            <w:r/>
            <w:r>
              <w:t>2,794 (16.6)</w:t>
            </w:r>
          </w:p>
        </w:tc>
      </w:tr>
      <w:tr>
        <w:tc>
          <w:tcPr>
            <w:tcW w:type="dxa" w:w="4320"/>
          </w:tcPr>
          <w:p>
            <w:r/>
            <w:r>
              <w:t>Surgical group: gastrointestinal,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show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indicates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shown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0.36 against an observed prevalence of 0.057 (external Brier score 0.176),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0.176</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tested the main findings against eight perturbations; the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which indicates that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showing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intraoperative hypotensive exposure over the remainder of surgery, with closely similar performance under temporal validation and good calibration after isotonic recalibration. Discrimination was therefore approximately 2.2-fold (2.23×) better than the no-skill baseline on the precision–recall scale (modest, but clearly not null), and the decision curve showed the model's net benefit over both default strategies was positive across most of the evaluated threshold range but very small in absolute terms (below 0.01 at the decision-relevant thresholds of 0.10–0.30, and at most 9.9×10⁻⁵ at 0.58 on the patient-level split); on the temporal split net benefit was positive up to 0.45, then negative except for a narrow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exposure-fraction outcomes are feasible on sparse data in a way that sustained-duration outcomes are not. Sustained definitions at conventional thresholds identified fewer than 60 cases here, which is a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the interval from operation start to the prediction anchor,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0.36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(cases without a recorded intubation, which may systematically differ, for example monitored anaesthesia care or non-intubated procedures)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1,332 with 1–9 readings and 164 with no post-anchor MAP recording at all. This is a spectrum effect: the excluded cases are exactly those with the sparsest monitoring, and they are therefore not missing at random. A visible proxy supports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which indicates that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which indicates that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a MAP reading recorded exactly at the anchor minute that belongs to both the feature and the outcome window,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Using only data available at the anaesthesia induction anchor, a gradient-boosted model achieved modest but non-null discrimination (AUPRC 0.347, AUROC 0.722) for intraoperative hypotensive exposure, reproduced under temporal validation and well calibrated after isotonic recalibration. In an independent external cohort (VitalDB, n = 3,735) the same model retained discrimination (AUROC 0.744) without refitting. This is a transportability check rather than a like-for-like validation, because the external anchor (operation start) postdates induction and the external outcome is defined on denser arterial sampling.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development cohort was drawn from MOVER (University of California Irvine), which is available to qualified researchers upon signature of a data use agreement (https://mover.ics.uci.edu/; UCI Machine Learning Repository, https://doi.org/10.24432/C5VS5G). The external cohort was drawn from VitalDB (https://vitaldb.net/), which is publicly accessible upon free registration and is described in Lee et al. (2022), doi:10.1038/s41597-022-01411-5. Patient-level data are not redistributed by the author, as the MOVER data use agreement does not permit this. All analysis code, the configuration file, the audit trail, and the aggregate result files from which every number in this manuscript is generated are available at https://github.com/yyx-4113/mover-sis-ioh-prediction/releases/tag/v1.0.1 (v1.0.1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 19. Hatib F, Jian Z, Buddi S, Lee C, Settels J, Sibert K, et al. Machine-learning algorithm to predict hypotension based on high-fidelity arterial pressure waveform analysis. Anesthesiology. 2018;129(4):663–674. doi:10.1097/ALN.0000000000002300. PMID: 29894315. 20. Riley RD, Ensor J, Snell KIE, Harrell FE Jr, Martin GP, Reitsma JB, et al. Calculating the sample size required for developing a clinical prediction model. BMJ. 2020 Mar 18;368:m441. doi:10.1136/bmj.m441. PMID: 32184264. 21. Van Calster B, McLernon DJ, van Smeden M, Wynants L, Steyerberg EW; Topic Group 'Evaluating diagnostic tests and prediction models' of the STRATOS initiative. Calibration: the Achilles heel of predictive analytics. BMC Med. 2019 Dec 16;17(1):230. doi:10.1186/s12916-019-1466-7. PMID: 31842878; PMCID: PMC6912996.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1315"/>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1315"/>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931460"/>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931460"/>
                    </a:xfrm>
                    <a:prstGeom prst="rect"/>
                  </pic:spPr>
                </pic:pic>
              </a:graphicData>
            </a:graphic>
          </wp:inline>
        </w:drawing>
      </w:r>
    </w:p>
    <w:p>
      <w:r>
        <w:t>with the primary definition D1 marked.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7898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7898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658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658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84778"/>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84778"/>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