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sustained intraoperative hypotension burden from data available at anaesthesia induction: development and internal validation in MOVER/SIS with external validation in VitalDB</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Reported machine-learning performance varies widely, and near-perfect discrimination has been claimed on public datasets with sparse blood-pressure recordings. We developed and validated (internally and externally) a model predicting cumulative hypotension burden over the remainder of surgery from data available at the anaesthesia induction anchor.</w:t>
      </w:r>
    </w:p>
    <w:p>
      <w:r>
        <w:rPr>
          <w:b/>
        </w:rPr>
        <w:t>Methods:</w:t>
      </w:r>
      <w:r>
        <w:t xml:space="preserve"> Retrospective cohort from MOVER/SIS (University of California Irvine; data use agreement). Of 19,114 screened records, 16,861 adult cases had a valid anchor (first intubation event, 82.1%; otherwise surgery start, 17.9%). The primary outcome required ≥10 mean arterial pressure (MAP) measurements after the anchor with ≥30% below 65 mmHg. Predictors were truncated at the anchor; four models were fitted (baseline, full logistic, XGBoost, LightGBM). Validation used patient-level (primary) and temporal (secondary) splits; the unchanged MOVER core model was also applied to the VitalDB arterial cohort (n = 3,735; anchor adapted from intubation to operation start; no refitting). AUPRC was the primary metric; AUROC, Brier and 1,000 bootstrap confidence intervals were secondary; out-of-fold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0.234 (baseline), 0.301 (full logistic) and 0.337 (LightGBM); on the temporal split it achieved 0.339 (0.291–0.395) and 0.733 (0.703–0.762). Isotonic recalibration improved the Brier score from 0.191 to 0.119. Performance was higher in women and younger patients; pre-anchor mean MAP was the dominant predictor. Externally (VitalDB, prevalence 5.7%), the unchanged model retained discrimination (AUROC 0.751, 95% CI 0.713–0.784; AUPRC 0.160, 0.129–0.202) but probabilities were uncalibrated.</w:t>
      </w:r>
    </w:p>
    <w:p>
      <w:r>
        <w:rPr>
          <w:b/>
        </w:rPr>
        <w:t>Conclusions:</w:t>
      </w:r>
      <w:r>
        <w:t xml:space="preserve"> An anchor-based model using routinely recorded pre-induction data achieved modest but non-null discrimination for cumulative hypotension burden and was well calibrated. External validation confirmed transfer of discrimination but not of absolute probabilities, which would require local recalibration before clinical use.</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[17] and by a perioperative consensus that recommends keeping intraoperative mean arterial pressure at or above 60 mmHg in at-risk patients [18], and by further work linking intraoperative mean arterial pressure to outcomes [16].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case-minutes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validate (internally and externally) a model for the </w:t>
      </w:r>
      <w:r>
        <w:rPr>
          <w:i/>
        </w:rPr>
        <w:t>cumulative burden</w:t>
      </w:r>
      <w:r>
        <w:t xml:space="preserve"> of hypotension over the remainder of surgery, using only information available at the anaesthesia induction anchor,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an OR window shorter than 60 minutes;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3,559,993 one-minute OR observations. Median OR duration was 167 minutes.</w:t>
      </w:r>
    </w:p>
    <w:p>
      <w:pPr>
        <w:pStyle w:val="Heading2"/>
      </w:pPr>
      <w:r>
        <w:t>Prediction anchor</w:t>
      </w:r>
    </w:p>
    <w:p>
      <w:r>
        <w:t>The prediction anchor was the first recorded Intubation event (n = 13,834; 82.1%). Where no intubation event existed, Surgery start was used as a proxy (n = 3,027; 17.9%). The anchor occurred a median of 15 minutes (IQR 11–24) after OR start. The observation window after the anchor had a median duration of 147 minutes (5th–95th percentile 49–440).</w:t>
      </w:r>
    </w:p>
    <w:p>
      <w:pPr>
        <w:pStyle w:val="Heading2"/>
      </w:pPr>
      <w:r>
        <w:t>Outcome</w:t>
      </w:r>
    </w:p>
    <w:p>
      <w:r>
        <w:t>The primary outcome (D1) was a cumulative-burden definition aligned with the absolute-threshold framework of Salmasi et al. [1]: at least 10 MAP measurements after the anchor, of which at least 30% were below 65 mmHg. Cases with fewer than 10 post-anchor measurements were classified as negative by construction; this applied to 1,496 cases (8.9%), because the definition deliberately requires a minimum amount of evidence before a burden can be asserted.</w:t>
      </w:r>
    </w:p>
    <w:p>
      <w:r>
        <w:t>Because the choice of hypotension definition materially changes apparent performance, 14 candidate definitions were computed for every case and are reported in full (Table 2) [9].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w:t>
      </w:r>
    </w:p>
    <w:p>
      <w:r>
        <w:t>Surgical group was assigned from the free-text procedure description by keyword mapping into 12 categories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w:t>
      </w:r>
    </w:p>
    <w:p>
      <w:pPr>
        <w:pStyle w:val="Heading2"/>
      </w:pPr>
      <w:r>
        <w:t>External validation cohort</w:t>
      </w:r>
    </w:p>
    <w:p>
      <w:r>
        <w:t>To test generalisability beyond the development site, the MOVER core model was applied unchanged to VitalDB [19], an independent public database of high-fidelity vital signs from surgical patients at a single tertiary centre (Seoul National University Hospital, Republic of Korea), accessed through its public application programming interface without authentication. Because VitalDB records no intubation event, the prediction anchor was adapted from the MOVER intubation anchor to the operation start time (opstart), the closest available analogue, and the outcome D1 was computed identically over the window [opstart, opend]. The external cohort comprised cases with an arterial mean arterial pressure track (Solar8000/ART_MBP or EV1000/ART_MBP) and valid opstart/opend times (n = 3,735). Predictors were restricted to the 53-feature transportable subset (demographics and pre-anchor 15-minute vital-sign statistics) available in both resources; MOVER-specific timing signals (anchor is intubation, intubation event recorded) and the calendar-year indicator, which are not derivable from VitalDB, were set to zero.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XGBoost 3.4.1 and LightGBM 4.7.0. The random seed was fixed at 12,345. Every number reported in this manuscript is generated from a result file by the analysis pipeline and is traceable through an audit trail (Additional file 1) that records, for each quantity, its value, the producing artefact and the command that reproduces it [10–12].</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(82.1)</w:t>
            </w:r>
          </w:p>
        </w:tc>
      </w:tr>
      <w:tr>
        <w:tc>
          <w:tcPr>
            <w:tcW w:type="dxa" w:w="4320"/>
          </w:tcPr>
          <w:p>
            <w:r/>
            <w:r>
              <w:t>Anchor = Surgery start (proxy) — n (%)</w:t>
            </w:r>
          </w:p>
        </w:tc>
        <w:tc>
          <w:tcPr>
            <w:tcW w:type="dxa" w:w="4320"/>
          </w:tcPr>
          <w:p>
            <w:r/>
            <w:r>
              <w:t>3,027 (17.9)</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99.8</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(0.724 vs 0.722) but slightly lower on AUPRC. The full logistic model reached AUPRC 0.301, and the age/sex/BMI baseline 0.234, indicating that the additional predictors contribute meaningfully beyond basic demographics while the absolute gain remains moderate.</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0.234 (0.207–0.268)</w:t>
            </w:r>
          </w:p>
        </w:tc>
        <w:tc>
          <w:tcPr>
            <w:tcW w:type="dxa" w:w="1080"/>
          </w:tcPr>
          <w:p>
            <w:r/>
            <w:r>
              <w:t>0.626 (0.597–0.653)</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(0.268–0.340)</w:t>
            </w:r>
          </w:p>
        </w:tc>
        <w:tc>
          <w:tcPr>
            <w:tcW w:type="dxa" w:w="1080"/>
          </w:tcPr>
          <w:p>
            <w:r/>
            <w:r>
              <w:t>0.707 (0.682–0.729)</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0.337 (0.301–0.375)</w:t>
            </w:r>
          </w:p>
        </w:tc>
        <w:tc>
          <w:tcPr>
            <w:tcW w:type="dxa" w:w="1080"/>
          </w:tcPr>
          <w:p>
            <w:r/>
            <w:r>
              <w:t>0.724 (0.699–0.745)</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0.240</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0.725 (0.693–0.757)</w:t>
            </w:r>
          </w:p>
        </w:tc>
        <w:tc>
          <w:tcPr>
            <w:tcW w:type="dxa" w:w="1080"/>
          </w:tcPr>
          <w:p>
            <w:r/>
            <w:r>
              <w:t>0.227</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0.337 (0.290–0.392)</w:t>
            </w:r>
          </w:p>
        </w:tc>
        <w:tc>
          <w:tcPr>
            <w:tcW w:type="dxa" w:w="1080"/>
          </w:tcPr>
          <w:p>
            <w:r/>
            <w:r>
              <w:t>0.732 (0.703–0.761)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confirms meaningful miscalibration for which recalibration was required rather than cosmetic. Out-of-fold isotonic recalibration reduced the Brier score to 0.119, with a calibration slope of 0.909 and an intercept of 0.008, indicating well-calibrated probabilities on the log-odds scale. On the temporal split the Brier score improved from 0.194 to 0.122, with slope 0.934 and intercept 0.006.</w:t>
      </w:r>
    </w:p>
    <w:p>
      <w:r>
        <w:t>In decision curve analysis, the calibrated model's net benefit exceeded that of both default strategies (treat all, treat none) across the evaluated threshold range, remaining positive up to a threshold of 0.58 on the patient-level split and 0.73 on the temporal split (with a transient dip near 0.67 on the temporal split). At a threshold of 0.15, close to the outcome prevalence, net benefit was 0.050 and 0.058 respectively; at a threshold of 0.10 it was 0.079 and 0.085. In a benchmark against a logistic model using the pre-anchor mean MAP alone, the full model's incremental net benefit was 0.013 at both thresholds 0.10 and 0.15 (Figure 4).</w:t>
      </w:r>
    </w:p>
    <w:p>
      <w:pPr>
        <w:pStyle w:val="Heading2"/>
      </w:pPr>
      <w:r>
        <w:t>Subgroup performance</w:t>
      </w:r>
    </w:p>
    <w:p>
      <w:r>
        <w:t>Performance varied systematically (Table 5). AUPRC was higher in women than men, declined monotonically with age, and was highest in underweight patients. These patterns were reproduced on the temporal split for sex and age. The underweight subgroup was an exception: AUPRC was 0.616 on the patient-level split but 0.382 on the temporal split, and with only 98 cases in the patient-level test-set stratum (512 in the full cohort) the estimate should be regarded as unstable.</w:t>
      </w:r>
    </w:p>
    <w:p>
      <w:r>
        <w:rPr>
          <w:b/>
        </w:rPr>
        <w:t>Table 5. AUPRC of XGBoost by subgroup (held-out test set).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Subgroup</w:t>
            </w:r>
          </w:p>
        </w:tc>
        <w:tc>
          <w:tcPr>
            <w:tcW w:type="dxa" w:w="2160"/>
          </w:tcPr>
          <w:p>
            <w:r>
              <w:rPr>
                <w:b/>
              </w:rPr>
            </w:r>
            <w:r>
              <w:rPr>
                <w:b/>
              </w:rPr>
              <w:t>n (test)</w:t>
            </w:r>
          </w:p>
        </w:tc>
        <w:tc>
          <w:tcPr>
            <w:tcW w:type="dxa" w:w="2160"/>
          </w:tcPr>
          <w:p>
            <w:r>
              <w:rPr>
                <w:b/>
              </w:rPr>
            </w:r>
            <w:r>
              <w:rPr>
                <w:b/>
              </w:rPr>
              <w:t>Patient split</w:t>
            </w:r>
          </w:p>
        </w:tc>
        <w:tc>
          <w:tcPr>
            <w:tcW w:type="dxa" w:w="2160"/>
          </w:tcPr>
          <w:p>
            <w:r>
              <w:rPr>
                <w:b/>
              </w:rPr>
            </w:r>
            <w:r>
              <w:rPr>
                <w:b/>
              </w:rPr>
              <w:t>Temporal split</w:t>
            </w:r>
          </w:p>
        </w:tc>
      </w:tr>
      <w:tr>
        <w:tc>
          <w:tcPr>
            <w:tcW w:type="dxa" w:w="2160"/>
          </w:tcPr>
          <w:p>
            <w:r/>
            <w:r>
              <w:t>Men</w:t>
            </w:r>
          </w:p>
        </w:tc>
        <w:tc>
          <w:tcPr>
            <w:tcW w:type="dxa" w:w="2160"/>
          </w:tcPr>
          <w:p>
            <w:r/>
            <w:r>
              <w:t>1,689</w:t>
            </w:r>
          </w:p>
        </w:tc>
        <w:tc>
          <w:tcPr>
            <w:tcW w:type="dxa" w:w="2160"/>
          </w:tcPr>
          <w:p>
            <w:r/>
            <w:r>
              <w:t>0.299</w:t>
            </w:r>
          </w:p>
        </w:tc>
        <w:tc>
          <w:tcPr>
            <w:tcW w:type="dxa" w:w="2160"/>
          </w:tcPr>
          <w:p>
            <w:r/>
            <w:r>
              <w:t>0.267</w:t>
            </w:r>
          </w:p>
        </w:tc>
      </w:tr>
      <w:tr>
        <w:tc>
          <w:tcPr>
            <w:tcW w:type="dxa" w:w="2160"/>
          </w:tcPr>
          <w:p>
            <w:r/>
            <w:r>
              <w:t>Women</w:t>
            </w:r>
          </w:p>
        </w:tc>
        <w:tc>
          <w:tcPr>
            <w:tcW w:type="dxa" w:w="2160"/>
          </w:tcPr>
          <w:p>
            <w:r/>
            <w:r>
              <w:t>1,684</w:t>
            </w:r>
          </w:p>
        </w:tc>
        <w:tc>
          <w:tcPr>
            <w:tcW w:type="dxa" w:w="2160"/>
          </w:tcPr>
          <w:p>
            <w:r/>
            <w:r>
              <w:t>0.357</w:t>
            </w:r>
          </w:p>
        </w:tc>
        <w:tc>
          <w:tcPr>
            <w:tcW w:type="dxa" w:w="2160"/>
          </w:tcPr>
          <w:p>
            <w:r/>
            <w:r>
              <w:t>0.370</w:t>
            </w:r>
          </w:p>
        </w:tc>
      </w:tr>
      <w:tr>
        <w:tc>
          <w:tcPr>
            <w:tcW w:type="dxa" w:w="2160"/>
          </w:tcPr>
          <w:p>
            <w:r/>
            <w:r>
              <w:t>Age &lt; 50 years</w:t>
            </w:r>
          </w:p>
        </w:tc>
        <w:tc>
          <w:tcPr>
            <w:tcW w:type="dxa" w:w="2160"/>
          </w:tcPr>
          <w:p>
            <w:r/>
            <w:r>
              <w:t>1,402</w:t>
            </w:r>
          </w:p>
        </w:tc>
        <w:tc>
          <w:tcPr>
            <w:tcW w:type="dxa" w:w="2160"/>
          </w:tcPr>
          <w:p>
            <w:r/>
            <w:r>
              <w:t>0.380</w:t>
            </w:r>
          </w:p>
        </w:tc>
        <w:tc>
          <w:tcPr>
            <w:tcW w:type="dxa" w:w="2160"/>
          </w:tcPr>
          <w:p>
            <w:r/>
            <w:r>
              <w:t>0.377</w:t>
            </w:r>
          </w:p>
        </w:tc>
      </w:tr>
      <w:tr>
        <w:tc>
          <w:tcPr>
            <w:tcW w:type="dxa" w:w="2160"/>
          </w:tcPr>
          <w:p>
            <w:r/>
            <w:r>
              <w:t>Age 50–64 years</w:t>
            </w:r>
          </w:p>
        </w:tc>
        <w:tc>
          <w:tcPr>
            <w:tcW w:type="dxa" w:w="2160"/>
          </w:tcPr>
          <w:p>
            <w:r/>
            <w:r>
              <w:t>1,044</w:t>
            </w:r>
          </w:p>
        </w:tc>
        <w:tc>
          <w:tcPr>
            <w:tcW w:type="dxa" w:w="2160"/>
          </w:tcPr>
          <w:p>
            <w:r/>
            <w:r>
              <w:t>0.324</w:t>
            </w:r>
          </w:p>
        </w:tc>
        <w:tc>
          <w:tcPr>
            <w:tcW w:type="dxa" w:w="2160"/>
          </w:tcPr>
          <w:p>
            <w:r/>
            <w:r>
              <w:t>0.305</w:t>
            </w:r>
          </w:p>
        </w:tc>
      </w:tr>
      <w:tr>
        <w:tc>
          <w:tcPr>
            <w:tcW w:type="dxa" w:w="2160"/>
          </w:tcPr>
          <w:p>
            <w:r/>
            <w:r>
              <w:t>Age ≥ 65 years</w:t>
            </w:r>
          </w:p>
        </w:tc>
        <w:tc>
          <w:tcPr>
            <w:tcW w:type="dxa" w:w="2160"/>
          </w:tcPr>
          <w:p>
            <w:r/>
            <w:r>
              <w:t>927</w:t>
            </w:r>
          </w:p>
        </w:tc>
        <w:tc>
          <w:tcPr>
            <w:tcW w:type="dxa" w:w="2160"/>
          </w:tcPr>
          <w:p>
            <w:r/>
            <w:r>
              <w:t>0.186</w:t>
            </w:r>
          </w:p>
        </w:tc>
        <w:tc>
          <w:tcPr>
            <w:tcW w:type="dxa" w:w="2160"/>
          </w:tcPr>
          <w:p>
            <w:r/>
            <w:r>
              <w:t>0.194</w:t>
            </w:r>
          </w:p>
        </w:tc>
      </w:tr>
      <w:tr>
        <w:tc>
          <w:tcPr>
            <w:tcW w:type="dxa" w:w="2160"/>
          </w:tcPr>
          <w:p>
            <w:r/>
            <w:r>
              <w:t>BMI &lt; 18.5 kg/m²</w:t>
            </w:r>
          </w:p>
        </w:tc>
        <w:tc>
          <w:tcPr>
            <w:tcW w:type="dxa" w:w="2160"/>
          </w:tcPr>
          <w:p>
            <w:r/>
            <w:r>
              <w:t>98</w:t>
            </w:r>
          </w:p>
        </w:tc>
        <w:tc>
          <w:tcPr>
            <w:tcW w:type="dxa" w:w="2160"/>
          </w:tcPr>
          <w:p>
            <w:r/>
            <w:r>
              <w:t>0.616</w:t>
            </w:r>
          </w:p>
        </w:tc>
        <w:tc>
          <w:tcPr>
            <w:tcW w:type="dxa" w:w="2160"/>
          </w:tcPr>
          <w:p>
            <w:r/>
            <w:r>
              <w:t>0.382</w:t>
            </w:r>
          </w:p>
        </w:tc>
      </w:tr>
      <w:tr>
        <w:tc>
          <w:tcPr>
            <w:tcW w:type="dxa" w:w="2160"/>
          </w:tcPr>
          <w:p>
            <w:r/>
            <w:r>
              <w:t>BMI 18.5–24.9 kg/m²</w:t>
            </w:r>
          </w:p>
        </w:tc>
        <w:tc>
          <w:tcPr>
            <w:tcW w:type="dxa" w:w="2160"/>
          </w:tcPr>
          <w:p>
            <w:r/>
            <w:r>
              <w:t>1,202</w:t>
            </w:r>
          </w:p>
        </w:tc>
        <w:tc>
          <w:tcPr>
            <w:tcW w:type="dxa" w:w="2160"/>
          </w:tcPr>
          <w:p>
            <w:r/>
            <w:r>
              <w:t>0.392</w:t>
            </w:r>
          </w:p>
        </w:tc>
        <w:tc>
          <w:tcPr>
            <w:tcW w:type="dxa" w:w="2160"/>
          </w:tcPr>
          <w:p>
            <w:r/>
            <w:r>
              <w:t>0.354</w:t>
            </w:r>
          </w:p>
        </w:tc>
      </w:tr>
      <w:tr>
        <w:tc>
          <w:tcPr>
            <w:tcW w:type="dxa" w:w="2160"/>
          </w:tcPr>
          <w:p>
            <w:r/>
            <w:r>
              <w:t>BMI 25–29.9 kg/m²</w:t>
            </w:r>
          </w:p>
        </w:tc>
        <w:tc>
          <w:tcPr>
            <w:tcW w:type="dxa" w:w="2160"/>
          </w:tcPr>
          <w:p>
            <w:r/>
            <w:r>
              <w:t>1,064</w:t>
            </w:r>
          </w:p>
        </w:tc>
        <w:tc>
          <w:tcPr>
            <w:tcW w:type="dxa" w:w="2160"/>
          </w:tcPr>
          <w:p>
            <w:r/>
            <w:r>
              <w:t>0.286</w:t>
            </w:r>
          </w:p>
        </w:tc>
        <w:tc>
          <w:tcPr>
            <w:tcW w:type="dxa" w:w="2160"/>
          </w:tcPr>
          <w:p>
            <w:r/>
            <w:r>
              <w:t>0.306</w:t>
            </w:r>
          </w:p>
        </w:tc>
      </w:tr>
      <w:tr>
        <w:tc>
          <w:tcPr>
            <w:tcW w:type="dxa" w:w="2160"/>
          </w:tcPr>
          <w:p>
            <w:r/>
            <w:r>
              <w:t>BMI ≥ 30 kg/m²</w:t>
            </w:r>
          </w:p>
        </w:tc>
        <w:tc>
          <w:tcPr>
            <w:tcW w:type="dxa" w:w="2160"/>
          </w:tcPr>
          <w:p>
            <w:r/>
            <w:r>
              <w:t>977</w:t>
            </w:r>
          </w:p>
        </w:tc>
        <w:tc>
          <w:tcPr>
            <w:tcW w:type="dxa" w:w="2160"/>
          </w:tcPr>
          <w:p>
            <w:r/>
            <w:r>
              <w:t>0.257</w:t>
            </w:r>
          </w:p>
        </w:tc>
        <w:tc>
          <w:tcPr>
            <w:tcW w:type="dxa" w:w="2160"/>
          </w:tcPr>
          <w:p>
            <w:r/>
            <w:r>
              <w:t>0.330</w:t>
            </w:r>
          </w:p>
        </w:tc>
      </w:tr>
    </w:tbl>
    <w:p/>
    <w:p>
      <w:r>
        <w:t>n denotes the number of cases in the held-out test set on which each subgroup AUPRC was computed (patient-level split: 3,373; temporal split: 1,818). Subgroup AUPRCs are exploratory given the reduced event counts within strata; for example, the underweight stratum comprised 98 patient-level test-set cases (512 in the full cohort).</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validation</w:t>
      </w:r>
    </w:p>
    <w:p>
      <w:r>
        <w:t>The MOVER core model was applied without refitting to the VitalDB arterial cohort of 3,735 cases, of which 214 (5.73%) met the D1 outcome (Table 7). Discrimination transferred: the external AUROC was 0.751 (95% CI 0.713–0.784), numerically above the internal patient-level value of 0.698 and the temporal value of 0.710 for the same 53-feature model, and the external AUPRC of 0.160 (0.129–0.202)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0.37 against an observed prevalence of 0.057 (external Brier score 0.179), indicating that the model would require local recalibration before the predicted probabilities could be used directly. These results are summarised in Figure 6 and Table 7.</w:t>
      </w:r>
    </w:p>
    <w:p>
      <w:r>
        <w:rPr>
          <w:b/>
        </w:rPr>
        <w:t>Table 7. External validation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15.55</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0.160 (0.129–0.202)</w:t>
            </w:r>
          </w:p>
        </w:tc>
        <w:tc>
          <w:tcPr>
            <w:tcW w:type="dxa" w:w="1080"/>
          </w:tcPr>
          <w:p>
            <w:r/>
            <w:r>
              <w:t>0.751 (0.713–0.784)</w:t>
            </w:r>
          </w:p>
        </w:tc>
        <w:tc>
          <w:tcPr>
            <w:tcW w:type="dxa" w:w="1080"/>
          </w:tcPr>
          <w:p>
            <w:r/>
            <w:r>
              <w:t>0.179</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 modest, but clearly not null — and the decision curve showed the model yielded positive net benefit relative to both default strategies across threshold probabilities up to 0.58 (patient-level) and 0.73 (temporal).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Performance declined sharply with age, which is the opposite of what a purely risk-factor-based model would predict, and was higher in women. Both patterns are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[13],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[13].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external-validation studies [14,15]. We now provide such an external validation ourselves, in VitalDB, an independent resource with a different recording architecture; the model's ranking ability transferred (external AUROC 0.751, above the internal 0.698–0.710 for the same 53-feature model) while absolute probabilities did not and would require local recalibration —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with necessary adaptations and shows transfer of discrimination but not of calibration.</w:t>
      </w:r>
      <w:r>
        <w:t xml:space="preserve"> The model was validated externally in VitalDB without refitting or recalibrating; the anchor was adapted from intubation to operation start (VitalDB records no intubation event) and MOVER-specific timing signals were set to zero. The external cohort had a substantially lower outcome prevalence (5.73% vs 15.55%) and a different recording architecture (continuous arterial pressure rather than intermittent non-invasive measurement), so the external AUPRC cannot be compared directly with the internal value; the external AUROC (0.751) indicates that ranking transferred. Predicted probabilities were not calibrated to the external cohort (mean predicted risk 0.37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17.9% of cases the anchor was Surgery start rather than intubation, because no intubation event was recorded. This is not merely a labelling nuisance: the anchor source was among the strongest predictors (anchor is intubation ranked third by gain), so the proxy cohort — cases without a recorded intubation, which may systematically differ, for example monitored anaesthesia care or non-intubated procedures —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This is a spectrum effect: the excluded cases are exactly those with the sparsest monitoring (typically shorter or less-invasive cases) and are therefore not missing at random. The conditional prevalence among cases with at least 10 measurements was 17.1% (2,622 of 15,365), and excluding the sparse-monitoring cases may attenuate apparent performance.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w:t>
      </w:r>
    </w:p>
    <w:p>
      <w:pPr>
        <w:pStyle w:val="Heading2"/>
      </w:pPr>
      <w:r>
        <w:t>What this study adds</w:t>
      </w:r>
    </w:p>
    <w:p>
      <w:r>
        <w:t>Beyond the modest absolute performance, this study contributes four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zero residual horizon overlap (maximum interval 0.00 minutes; no unparseable timestamps).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demonstrated to be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validation on an independent resource.</w:t>
      </w:r>
      <w:r>
        <w:t xml:space="preserve"> In VitalDB the model was applied unchanged; discrimination transferred (AUROC 0.751, exceeding the internal 0.698–0.710 for the same feature set) while calibration did not, isolating exactly what does and does not generalise and supplying a concrete deployment requirement (local recalibration) rather than an abstract "needs external validation" caveat.</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In an independent external cohort (VitalDB, n = 3,735) the same model retained discrimination (AUROC 0.751) without refitting, although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at deployment,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AKI, acute kidney injury; AUROC, area under the receiver operating characteristic curve; AUPRC, area under the precision–recall curve; BMI, body mass index; DUA, data use agreement; IOH, intraoperative hypotension;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 retrospective waiver letter documenting this basis is being obtained from the IRB.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This manuscript, Table 2 (all 14 definitions computed for every case; see Additional file 1). 10. Pedregosa F, Varoquaux G, Gramfort A, et al. Scikit-learn: machine learning in Python. J Mach Learn Res. 2011;12:2825–2830. 11. Chen T, Guestrin C. XGBoost: a scalable tree boosting system. In: Proceedings of the 22nd ACM SIGKDD International Conference on Knowledge Discovery and Data Mining. 2016:785–794. doi:10.1145/2939672.2939785. 12. Ke G, Meng Q, Finley T, et al. LightGBM: a highly efficient gradient boosting decision tree. In: Advances in Neural Information Processing Systems 30. 2017:3146–3154. 13. Oyarzun R. The dynamics of arterial pressure itself predict intraoperative hypotension beyond its current value: an interpretable additive model validated in 3,069 external patients under a selection-bias-resistant protocol. medRxiv. 2026. doi:10.1101/2026.08.26.26361468. 14. Chiu C, Braehler MR, Donovan AL, Butte AJ, Pirracchio R, Bishara AM. Development of a machine learning-derived model to predict unplanned ICU admissions after major non-cardiac surgery. BMC Anesthesiol. 2025;25:351. doi:10.1186/s12871-025-03195-8. 15. Cheun H, Ahn JH, Park JW, et al. Development and external validation of a machine learning model for predicting severe immediate postoperative complications in adults undergoing cardiac surgery. BMC Anesthesiol. 2026;26:334. doi:10.1186/s12871-026-03841-9. 16. Walsh M, Devereaux PJ, Garg AX, et al. Relationship between intraoperative mean arterial pressure and clinical outcomes after noncardiac surgery: toward an empirical definition of hypotension. Anesthesiology. 2013;119(3):507–515. 17. Sun LY, Wijeysundera DN, Tait GA, Beattie WS. Association of intraoperative hypotension with acute kidney injury after elective noncardiac surgery. Anesthesiology. 2015;123(3):515–523. doi:10.1097/ALN.0000000000000765. 18. Saugel B, Fletcher N, Gan TJ, Grocott MPW, Myles PS, Sessler DI, et al. PeriOperative Quality Initiative (POQI) international consensus statement on perioperative arterial pressure management. Br J Anaesth. 2024;133(2):264–276. doi:10.1016/j.bja.2024.04.046. 19. Lee S, Park J, Lee S, Park Y, Kim S, Kim T, et al. VitalDB, a high-fidelity vital signs database in surgical patients. Sci Data. 2022;9:279. doi:10.1038/s41597-022-01794-9.</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operating room window shorter than 60 minutes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r>
        <w:rPr>
          <w:b/>
        </w:rPr>
        <w:t>Figure 6. External validation in VitalDB.</w:t>
      </w:r>
      <w:r>
        <w:t xml:space="preserve"> Receiver operating characteristic (left), precision–recall (centre) and predicted-risk distribution (right) for the MOVER core model applied unchanged to the VitalDB arterial cohort (n = 3,735; outcome prevalence 5.73%).</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