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Transparent, leakage-audited prediction of cumulative intraoperative hypotension burden from anaesthesia-induction data, with an external transportability check and quantification of sparse noninvasive blood pressure constraints</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960856791@qq.com</w:t>
      </w:r>
    </w:p>
    <w:p>
      <w:pPr>
        <w:pStyle w:val="Heading1"/>
      </w:pPr>
      <w:r>
        <w:t>Abstract</w:t>
      </w:r>
    </w:p>
    <w:p>
      <w:r>
        <w:rPr>
          <w:b/>
        </w:rPr>
        <w:t>Background:</w:t>
      </w:r>
      <w:r>
        <w:t xml:space="preserve"> Machine-learning estimates for intraoperative hypotension vary widely, with near-perfect discrimination reported on the same resource we analyse. Such estimates are hard to reconcile with the coarse information content of sparse, intermittent noninvasive blood pressure. We developed and internally validated a transparent, leakage-audited model predicting hypotensive exposure (≥30% of post-anchor MAP readings &lt;65 mmHg) over the remainder of surgery from induction-anchor data, and examined its transportability in an external cohort.</w:t>
      </w:r>
    </w:p>
    <w:p>
      <w:r>
        <w:rPr>
          <w:b/>
        </w:rPr>
        <w:t>Methods:</w:t>
      </w:r>
      <w:r>
        <w:t xml:space="preserve"> Retrospective MOVER/SIS cohort; 16,861 adult cases with a valid anchor (first intubation 13,834, 82.0%; else surgery start 3,027, 18.0%). Primary outcome: ≥10 post-anchor MAP readings with ≥30% below 65 mmHg. Predictors truncated at the anchor; four models fitted (baseline, full logistic, XGBoost, LightGBM). Validation used patient-level (primary) and temporal (secondary) splits; the unchanged core model was applied unrefitted to VitalDB (of 6,388 cases, n = 3,735 eligible; anchor adapted to operation start) as a transportability check. AUPRC was primary; AUROC, Brier, 1,000 bootstrap CIs, isotonic calibration and decision curve analysis were performed.</w:t>
      </w:r>
    </w:p>
    <w:p>
      <w:r>
        <w:rPr>
          <w:b/>
        </w:rPr>
        <w:t>Results:</w:t>
      </w:r>
      <w:r>
        <w:t xml:space="preserve"> The outcome occurred in 2,622/16,861 cases (15.55%). XGBoost achieved AUPRC 0.347 (95% CI 0.309–0.387) and AUROC 0.722 (0.697–0.745) on the patient-level split versus 0.233 (baseline), 0.301 (logistic) and 0.338 (LightGBM); temporal split 0.339/0.733. Isotonic recalibration improved Brier from 0.191 to 0.119; pre-anchor mean MAP dominated. Externally (VitalDB, prevalence 5.73%, 214 events) the unchanged model retained discrimination (AUROC 0.744, 0.705–0.778; AUPRC 0.158, 0.126–0.202) but probabilities were uncalibrated; 53-feature internal AUROC 0.698–0.710 confirmed transportability, not like-for-like validation.</w:t>
      </w:r>
    </w:p>
    <w:p>
      <w:r>
        <w:rPr>
          <w:b/>
        </w:rPr>
        <w:t>Conclusions:</w:t>
      </w:r>
      <w:r>
        <w:t xml:space="preserve"> Within a fully leakage-audited framework, an anchor-based model using routinely recorded pre-induction data achieved modest but non-null, well-calibrated discrimination for intraoperative hypotensive exposure. An external transportability check in VitalDB supported transfer of ranking but not of absolute probabilities, requiring local recalibration before clinical use. We quantify the ceiling that sparse noninvasive blood pressure imposes on such prediction and provide a transparent, auditable pipeline generalisable to similar resources.</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[16] and by a perioperative consensus that recommends keeping intraoperative mean arterial pressure at or above 60 mmHg in at-risk patients [17], and by further work linking intraoperative mean arterial pressure to outcomes [15].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machine-learning Hypotension Prediction Index [19],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vital-sign rows (about one in five)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We therefore set out to develop and internally validate a model for intraoperative hypotensive exposure over the remainder of surgery, using only information available at the anaesthesia induction anchor, to examine its transportability in an independent external cohort,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with the qualification that the external step is a transportability check rather than a like-for-like validation, because the external anchor, endpoint definition and recording density differ from the development cohort.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fewer than 60 vital-sign observations inside the OR window;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3,379,173 OR-window vital-sign observations. Median OR duration was 167 minutes.</w:t>
      </w:r>
    </w:p>
    <w:p>
      <w:pPr>
        <w:pStyle w:val="Heading2"/>
      </w:pPr>
      <w:r>
        <w:t>Prediction anchor</w:t>
      </w:r>
    </w:p>
    <w:p>
      <w:r>
        <w:t>The prediction anchor was the first recorded Intubation event (n = 13,834; 82.0%). Where no intubation event existed, Surgery start was used as a proxy (n = 3,027; 18.0%). The anchor occurred a median of 15 minutes (IQR 11–24) after OR start. The observation window after the anchor had a median duration of 147 minutes (5th–95th percentile 49–440).</w:t>
      </w:r>
    </w:p>
    <w:p>
      <w:pPr>
        <w:pStyle w:val="Heading2"/>
      </w:pPr>
      <w:r>
        <w:t>Outcome</w:t>
      </w:r>
    </w:p>
    <w:p>
      <w:r>
        <w:t xml:space="preserve">The primary outcome (D1) adopts the absolute MAP threshold (&lt;65 mmHg) of Salmasi et al. [1] but operationalises burden as the proportion of </w:t>
      </w:r>
      <w:r>
        <w:rPr>
          <w:i/>
        </w:rPr>
        <w:t>recorded</w:t>
      </w:r>
      <w:r>
        <w:t xml:space="preserve"> post-anchor MAP readings below threshold: at least 10 readings, of which at least 30% below 65 mmHg. Because non-invasive pressure is recorded intermittently rather than continuously, this is a proportion of recorded readings, not a cumulative time below threshold; the number of low readings required for a positive label therefore varies with recording density (3 to 77 readings across cases; median 9). The ≥10-measurement and ≥30%-below rule is our operational choice rather than a literal transcription of that report. Cases with fewer than 10 post-anchor measurements were classified as negative by construction; this applied to 1,496 cases (8.9%): 1,332 with 1–9 readings and 164 with no post-anchor MAP recording at all, because the definition deliberately requires a minimum amount of evidence before a burden can be asserted. A sensitivity analysis restricted to the 15,365 evaluable cases is reported in the Results.</w:t>
      </w:r>
    </w:p>
    <w:p>
      <w:r>
        <w:t>Because the choice of hypotension definition materially changes apparent performance, 14 candidate definitions were computed for every case and are reported in full (Table 2; their prevalence is shown in Figure 2).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 One boundary detail deserves statement: the physiological windows are closed at the anchor ([anchor−15, anchor]), so a MAP reading recorded exactly at the anchor minute belongs to both the feature window and the outcome window ([anchor, OR end]). Sensitivity analyses that exclude the anchor minute from the feature window, and separately from the outcome window, are reported in the Results; neither changed the conclusions.</w:t>
      </w:r>
    </w:p>
    <w:p>
      <w:r>
        <w:t>Surgical group was assigned from the free-text procedure description by keyword mapping into 12 surgical categories plus a no-surgery category,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the imputer was fitted within each training fold only, so no test-set information entered preprocessing.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 Hyperparameters were fixed a priori on clinical-iterative grounds rather than by external tuning; with 335 logistic parameters against 2,097 training events (events per variable ≈6.3, below the commonly cited 10-events-per-parameter heuristic [20]), the full logistic model is expected to be over-fitted and is reported as a comparator rather than a deployable model.</w:t>
      </w:r>
    </w:p>
    <w:p>
      <w:pPr>
        <w:pStyle w:val="Heading2"/>
      </w:pPr>
      <w:r>
        <w:t>External validation cohort</w:t>
      </w:r>
    </w:p>
    <w:p>
      <w:r>
        <w:t xml:space="preserve">As a transportability check rather than a like-for-like external validation, the MOVER core model was applied unchanged to VitalDB [18], an independent public database of high-fidelity vital signs from surgical patients at a single tertiary centre (Seoul National University Hospital, Republic of Korea), accessed through its public application programming interface without authentication. A transparency limitation must be stated at the outset: VitalDB records no intubation event, so the prediction anchor was adapted from the MOVER intubation (induction) anchor to the operation start time (opstart), which occurs </w:t>
      </w:r>
      <w:r>
        <w:rPr>
          <w:i/>
        </w:rPr>
        <w:t>after</w:t>
      </w:r>
      <w:r>
        <w:t xml:space="preserve"> induction and intubation. The external "pre-anchor" 15-minute window therefore captures early-intraoperative rather than pre-induction physiology, a different phase from the development window. The outcome D1 was computed by the same rule over [opstart, opend]; because VitalDB samples arterial pressure far more densely than the intermittent non-invasive readings in MOVER, the same proportion-based rule implies a much larger absolute hypotensive exposure for a positive external label (at the median recording density, about 1,300 hypotensive samples, or some 44 cumulative minutes below 65 mmHg, versus 9 readings in MOVER), so the external endpoint is not equivalent to the development endpoint and part of the prevalence gap between cohorts is definitional rather than case-mix; a sensitivity analysis on a common one-minute-grid, absolute-time definition is reported in the Results. Of 6,388 VitalDB cases with recorded vital signs, 3,735 had an arterial MAP track (Solar8000/ART_MBP or EV1000/ART_MBP) together with valid operation timing and formed the external cohort. Predictors were restricted to the 53-feature transportable subset: demographic and anthropometric variables; pre-anchor 15-minute summary statistics of six vital signs (MAP, SBP, DBP, HR, a heart-rate variability proxy and SpO₂); the fraction of pre-anchor MAP readings below 65 and 55 mmHg; and three MOVER-specific contextual features: the anchor-to-OR-start interval, an indicator that the anchor was an intubation event, and a calendar-year indicator. The latter two are not derivable from VitalDB and were set to zero; the anchor-to-OR-start interval was re-derived under the opstart anchor (opstart minus case start, in minutes), so its meaning necessarily differs from the development cohort, where it is the OR-start-to-intubation interval, a residual source of transportability error. For transparency we note that the transported model was fitted on the full MOVER cohort (all 16,861 cases), whereas the internal comparators in Table 7 were fitted on the 80% training split of the patient-level split; the external model is therefore not disadvantaged by a smaller training set, but neither is it directly comparable to the held-out internal estimates.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on both the probability scale (linear-probability model) and the log-odds scale (logistic recalibration), in keeping with current guidance on calibration assessment [21].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[9], XGBoost 3.4.1 [10] and LightGBM 4.7.0 [11]. The random seed was fixed at 12,345. Every headline number reported in this manuscript is generated from a result file by the analysis pipeline and is traceable through an audit trail (Additional file 1) that records, for each quantity, its value, the producing artefact and the command that reproduces it; a small number of descriptive statistics (for example the interquartile ranges of recording density) are produced by the same scripts and are listed in the trail with their source artefact but without a dedicated reproduce command.</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(median, IQR)</w:t>
            </w:r>
          </w:p>
        </w:tc>
        <w:tc>
          <w:tcPr>
            <w:tcW w:type="dxa" w:w="4320"/>
          </w:tcPr>
          <w:p>
            <w:r/>
            <w:r>
              <w:t>54 (39–66)</w:t>
            </w:r>
          </w:p>
        </w:tc>
      </w:tr>
      <w:tr>
        <w:tc>
          <w:tcPr>
            <w:tcW w:type="dxa" w:w="4320"/>
          </w:tcPr>
          <w:p>
            <w:r/>
            <w:r>
              <w:t>Male sex, n (%)</w:t>
            </w:r>
          </w:p>
        </w:tc>
        <w:tc>
          <w:tcPr>
            <w:tcW w:type="dxa" w:w="4320"/>
          </w:tcPr>
          <w:p>
            <w:r/>
            <w:r>
              <w:t>8,355 (49.6)</w:t>
            </w:r>
          </w:p>
        </w:tc>
      </w:tr>
      <w:tr>
        <w:tc>
          <w:tcPr>
            <w:tcW w:type="dxa" w:w="4320"/>
          </w:tcPr>
          <w:p>
            <w:r/>
            <w:r>
              <w:t>Female sex, n (%)</w:t>
            </w:r>
          </w:p>
        </w:tc>
        <w:tc>
          <w:tcPr>
            <w:tcW w:type="dxa" w:w="4320"/>
          </w:tcPr>
          <w:p>
            <w:r/>
            <w:r>
              <w:t>8,502 (50.4)</w:t>
            </w:r>
          </w:p>
        </w:tc>
      </w:tr>
      <w:tr>
        <w:tc>
          <w:tcPr>
            <w:tcW w:type="dxa" w:w="4320"/>
          </w:tcPr>
          <w:p>
            <w:r/>
            <w:r>
              <w:t>Sex unknown, n (%)</w:t>
            </w:r>
          </w:p>
        </w:tc>
        <w:tc>
          <w:tcPr>
            <w:tcW w:type="dxa" w:w="4320"/>
          </w:tcPr>
          <w:p>
            <w:r/>
            <w:r>
              <w:t>4 (&lt;0.1)</w:t>
            </w:r>
          </w:p>
        </w:tc>
      </w:tr>
      <w:tr>
        <w:tc>
          <w:tcPr>
            <w:tcW w:type="dxa" w:w="4320"/>
          </w:tcPr>
          <w:p>
            <w:r/>
            <w:r>
              <w:t>Height, cm (median, IQR)</w:t>
            </w:r>
          </w:p>
        </w:tc>
        <w:tc>
          <w:tcPr>
            <w:tcW w:type="dxa" w:w="4320"/>
          </w:tcPr>
          <w:p>
            <w:r/>
            <w:r>
              <w:t>167 (160–175)</w:t>
            </w:r>
          </w:p>
        </w:tc>
      </w:tr>
      <w:tr>
        <w:tc>
          <w:tcPr>
            <w:tcW w:type="dxa" w:w="4320"/>
          </w:tcPr>
          <w:p>
            <w:r/>
            <w:r>
              <w:t>Weight, kg (median, IQR)</w:t>
            </w:r>
          </w:p>
        </w:tc>
        <w:tc>
          <w:tcPr>
            <w:tcW w:type="dxa" w:w="4320"/>
          </w:tcPr>
          <w:p>
            <w:r/>
            <w:r>
              <w:t>76 (63–90)</w:t>
            </w:r>
          </w:p>
        </w:tc>
      </w:tr>
      <w:tr>
        <w:tc>
          <w:tcPr>
            <w:tcW w:type="dxa" w:w="4320"/>
          </w:tcPr>
          <w:p>
            <w:r/>
            <w:r>
              <w:t>Body mass index, kg/m² (median, IQR)</w:t>
            </w:r>
          </w:p>
        </w:tc>
        <w:tc>
          <w:tcPr>
            <w:tcW w:type="dxa" w:w="4320"/>
          </w:tcPr>
          <w:p>
            <w:r/>
            <w:r>
              <w:t>26.6 (23.1–30.9)</w:t>
            </w:r>
          </w:p>
        </w:tc>
      </w:tr>
      <w:tr>
        <w:tc>
          <w:tcPr>
            <w:tcW w:type="dxa" w:w="4320"/>
          </w:tcPr>
          <w:p>
            <w:r/>
            <w:r>
              <w:t>Anchor = Intubation, n (%)</w:t>
            </w:r>
          </w:p>
        </w:tc>
        <w:tc>
          <w:tcPr>
            <w:tcW w:type="dxa" w:w="4320"/>
          </w:tcPr>
          <w:p>
            <w:r/>
            <w:r>
              <w:t>13,834 (82.0)</w:t>
            </w:r>
          </w:p>
        </w:tc>
      </w:tr>
      <w:tr>
        <w:tc>
          <w:tcPr>
            <w:tcW w:type="dxa" w:w="4320"/>
          </w:tcPr>
          <w:p>
            <w:r/>
            <w:r>
              <w:t>Anchor = Surgery start (proxy), n (%)</w:t>
            </w:r>
          </w:p>
        </w:tc>
        <w:tc>
          <w:tcPr>
            <w:tcW w:type="dxa" w:w="4320"/>
          </w:tcPr>
          <w:p>
            <w:r/>
            <w:r>
              <w:t>3,027 (18.0)</w:t>
            </w:r>
          </w:p>
        </w:tc>
      </w:tr>
      <w:tr>
        <w:tc>
          <w:tcPr>
            <w:tcW w:type="dxa" w:w="4320"/>
          </w:tcPr>
          <w:p>
            <w:r/>
            <w:r>
              <w:t>Anchor after OR start, min (median, IQR)</w:t>
            </w:r>
          </w:p>
        </w:tc>
        <w:tc>
          <w:tcPr>
            <w:tcW w:type="dxa" w:w="4320"/>
          </w:tcPr>
          <w:p>
            <w:r/>
            <w:r>
              <w:t>15 (11–24)</w:t>
            </w:r>
          </w:p>
        </w:tc>
      </w:tr>
      <w:tr>
        <w:tc>
          <w:tcPr>
            <w:tcW w:type="dxa" w:w="4320"/>
          </w:tcPr>
          <w:p>
            <w:r/>
            <w:r>
              <w:t>Post-anchor window, min (median, 5th–95th)</w:t>
            </w:r>
          </w:p>
        </w:tc>
        <w:tc>
          <w:tcPr>
            <w:tcW w:type="dxa" w:w="4320"/>
          </w:tcPr>
          <w:p>
            <w:r/>
            <w:r>
              <w:t>147 (49–440)</w:t>
            </w:r>
          </w:p>
        </w:tc>
      </w:tr>
      <w:tr>
        <w:tc>
          <w:tcPr>
            <w:tcW w:type="dxa" w:w="4320"/>
          </w:tcPr>
          <w:p>
            <w:r/>
            <w:r>
              <w:t>Pre-anchor MAP readings in 15-min window (median, IQR)</w:t>
            </w:r>
          </w:p>
        </w:tc>
        <w:tc>
          <w:tcPr>
            <w:tcW w:type="dxa" w:w="4320"/>
          </w:tcPr>
          <w:p>
            <w:r/>
            <w:r>
              <w:t>3 (2–4)</w:t>
            </w:r>
          </w:p>
        </w:tc>
      </w:tr>
      <w:tr>
        <w:tc>
          <w:tcPr>
            <w:tcW w:type="dxa" w:w="4320"/>
          </w:tcPr>
          <w:p>
            <w:r/>
            <w:r>
              <w:t>Pre-anchor mean MAP, mmHg (median, IQR)</w:t>
            </w:r>
          </w:p>
        </w:tc>
        <w:tc>
          <w:tcPr>
            <w:tcW w:type="dxa" w:w="4320"/>
          </w:tcPr>
          <w:p>
            <w:r/>
            <w:r>
              <w:t>87.7 (77.7–98.5)</w:t>
            </w:r>
          </w:p>
        </w:tc>
      </w:tr>
      <w:tr>
        <w:tc>
          <w:tcPr>
            <w:tcW w:type="dxa" w:w="4320"/>
          </w:tcPr>
          <w:p>
            <w:r/>
            <w:r>
              <w:t>Invasive arterial monitoring available, n (%)</w:t>
            </w:r>
          </w:p>
        </w:tc>
        <w:tc>
          <w:tcPr>
            <w:tcW w:type="dxa" w:w="4320"/>
          </w:tcPr>
          <w:p>
            <w:r/>
            <w:r>
              <w:t>2,503 (14.8)</w:t>
            </w:r>
          </w:p>
        </w:tc>
      </w:tr>
      <w:tr>
        <w:tc>
          <w:tcPr>
            <w:tcW w:type="dxa" w:w="4320"/>
          </w:tcPr>
          <w:p>
            <w:r/>
            <w:r>
              <w:t>Ventilation data available, n (%)</w:t>
            </w:r>
          </w:p>
        </w:tc>
        <w:tc>
          <w:tcPr>
            <w:tcW w:type="dxa" w:w="4320"/>
          </w:tcPr>
          <w:p>
            <w:r/>
            <w:r>
              <w:t>4,852 (28.8)</w:t>
            </w:r>
          </w:p>
        </w:tc>
      </w:tr>
      <w:tr>
        <w:tc>
          <w:tcPr>
            <w:tcW w:type="dxa" w:w="4320"/>
          </w:tcPr>
          <w:p>
            <w:r/>
            <w:r>
              <w:t>Pre-anchor laboratory results, n (%)</w:t>
            </w:r>
          </w:p>
        </w:tc>
        <w:tc>
          <w:tcPr>
            <w:tcW w:type="dxa" w:w="4320"/>
          </w:tcPr>
          <w:p>
            <w:r/>
            <w:r>
              <w:t>76 (0.45)</w:t>
            </w:r>
          </w:p>
        </w:tc>
      </w:tr>
      <w:tr>
        <w:tc>
          <w:tcPr>
            <w:tcW w:type="dxa" w:w="4320"/>
          </w:tcPr>
          <w:p>
            <w:r/>
            <w:r>
              <w:t>Pre-anchor fluid/intake-output records, n (%)</w:t>
            </w:r>
          </w:p>
        </w:tc>
        <w:tc>
          <w:tcPr>
            <w:tcW w:type="dxa" w:w="4320"/>
          </w:tcPr>
          <w:p>
            <w:r/>
            <w:r>
              <w:t>2,794 (16.6)</w:t>
            </w:r>
          </w:p>
        </w:tc>
      </w:tr>
      <w:tr>
        <w:tc>
          <w:tcPr>
            <w:tcW w:type="dxa" w:w="4320"/>
          </w:tcPr>
          <w:p>
            <w:r/>
            <w:r>
              <w:t>Surgical group: gastrointestinal,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show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99.7</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(0.721 vs 0.722) but slightly lower on AUPRC. The full logistic model reached AUPRC 0.301, and the age/sex/BMI baseline 0.233, indicating that the additional predictors contribute meaningfully beyond basic demographics while the absolute gain remains moderate. Figure 3 shows the precision–recall and receiver operating characteristic curves for all four models.</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0.233 (0.205–0.267)</w:t>
            </w:r>
          </w:p>
        </w:tc>
        <w:tc>
          <w:tcPr>
            <w:tcW w:type="dxa" w:w="1080"/>
          </w:tcPr>
          <w:p>
            <w:r/>
            <w:r>
              <w:t>0.624 (0.596–0.650)</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(0.269–0.339)</w:t>
            </w:r>
          </w:p>
        </w:tc>
        <w:tc>
          <w:tcPr>
            <w:tcW w:type="dxa" w:w="1080"/>
          </w:tcPr>
          <w:p>
            <w:r/>
            <w:r>
              <w:t>0.706 (0.681–0.728)</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0.338 (0.299–0.377)</w:t>
            </w:r>
          </w:p>
        </w:tc>
        <w:tc>
          <w:tcPr>
            <w:tcW w:type="dxa" w:w="1080"/>
          </w:tcPr>
          <w:p>
            <w:r/>
            <w:r>
              <w:t>0.721 (0.697–0.743)</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0.239</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0.726 (0.694–0.758)</w:t>
            </w:r>
          </w:p>
        </w:tc>
        <w:tc>
          <w:tcPr>
            <w:tcW w:type="dxa" w:w="1080"/>
          </w:tcPr>
          <w:p>
            <w:r/>
            <w:r>
              <w:t>0.226</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0.336 (0.289–0.390)</w:t>
            </w:r>
          </w:p>
        </w:tc>
        <w:tc>
          <w:tcPr>
            <w:tcW w:type="dxa" w:w="1080"/>
          </w:tcPr>
          <w:p>
            <w:r/>
            <w:r>
              <w:t>0.731 (0.702–0.761)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indicates meaningful miscalibration for which recalibration was required rather than cosmetic. Out-of-fold isotonic recalibration reduced the Brier score to 0.119, with a calibration slope of 0.909 and an intercept of 0.008 on the probability scale (linear-probability model); the logit-scale recalibration slope and intercept are reported alongside. On the temporal split the Brier score improved from 0.194 to 0.122, with slope 0.934 and intercept 0.006 on the probability scale. In both cases the probability-scale slope below 1 indicates that the uncalibrated predictions were slightly over-dispersed, which isotonic recalibration corrected.</w:t>
      </w:r>
    </w:p>
    <w:p>
      <w:r>
        <w:t>In decision curve analysis, the calibrated model's net benefit exceeded that of the "treat none" strategy from the lowest evaluated threshold up to 0.58 on the patient-level split and up to 0.45 on the temporal split; on the temporal split it then turned negative between 0.46 and 0.65 and returned briefly to positive only between 0.66 and 0.73, where the net benefit was nonetheless negligible (≤0.0006), as it was at the top of the patient-level range (0.0001 at 0.58). The "treat all" strategy had a small positive net benefit at the lowest evaluated thresholds (≈0.06 at threshold 0.10) but became strongly negative at higher thresholds (≈−2.1 at 0.73), so it offers no advantage over the model. The absolute net benefit at the decision-relevant thresholds was small (0.078 and 0.085 at threshold 0.10; 0.051 and 0.058 at threshold 0.15, close to the outcome prevalence), so the clinical usefulness shown by the curve is modest. In a benchmark against a logistic model using the pre-anchor mean MAP alone, the full model's incremental net benefit was 0.013 at both thresholds 0.10 and 0.15 (Figure 4).</w:t>
      </w:r>
    </w:p>
    <w:p>
      <w:pPr>
        <w:pStyle w:val="Heading2"/>
      </w:pPr>
      <w:r>
        <w:t>Subgroup performance</w:t>
      </w:r>
    </w:p>
    <w:p>
      <w:r>
        <w:t>Raw subgroup AUPRC varied across strata (Table 5): it was higher in women than men, declined with age, and was highest in underweight patients. However, subgroup AUPRC tracks stratum outcome prevalence closely: across the nine strata the rank correlation between full-cohort stratum prevalence and patient-level subgroup AUPRC was strong (Spearman ρ = 0.88, p = 0.002). Normalising AUPRC by stratum prevalence (the no-skill AUPRC for that stratum) compressed the age gradient to ratios of 1.89, 2.28 and 1.82 across increasing age bands and reversed the sex ordering (men 2.17 vs women 2.07); on the temporal split the normalised ratios were similarly uniform (1.88–2.14 by age band; women 2.14 vs men 1.93). The raw subgroup differences therefore largely reflect stratum base rates rather than differential model skill, and no subgroup-specific claim is made. The underweight stratum is the clearest exception and is explicitly unstable: its raw AUPRC of 0.616 rests on 10 outcome events among 98 patient-level test-set cases (512 cases, 95 events in the full cohort), and the corresponding ratio of 3.32 is inflated by the same small numbers; on the temporal split the AUPRC fell to 0.382.</w:t>
      </w:r>
    </w:p>
    <w:p>
      <w:r>
        <w:rPr>
          <w:b/>
        </w:rPr>
        <w:t>Table 5. AUPRC of XGBoost by subgroup (held-out test set), with stratum prevalence and the AUPRC-to-prevalence ratio (lift over the no-skill baseline).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Subgroup</w:t>
            </w:r>
          </w:p>
        </w:tc>
        <w:tc>
          <w:tcPr>
            <w:tcW w:type="dxa" w:w="1234"/>
          </w:tcPr>
          <w:p>
            <w:r>
              <w:rPr>
                <w:b/>
              </w:rPr>
            </w:r>
            <w:r>
              <w:rPr>
                <w:b/>
              </w:rPr>
              <w:t>n (test)</w:t>
            </w:r>
          </w:p>
        </w:tc>
        <w:tc>
          <w:tcPr>
            <w:tcW w:type="dxa" w:w="1234"/>
          </w:tcPr>
          <w:p>
            <w:r>
              <w:rPr>
                <w:b/>
              </w:rPr>
            </w:r>
            <w:r>
              <w:rPr>
                <w:b/>
              </w:rPr>
              <w:t>Stratum prevalence, % (full cohort)</w:t>
            </w:r>
          </w:p>
        </w:tc>
        <w:tc>
          <w:tcPr>
            <w:tcW w:type="dxa" w:w="1234"/>
          </w:tcPr>
          <w:p>
            <w:r>
              <w:rPr>
                <w:b/>
              </w:rPr>
            </w:r>
            <w:r>
              <w:rPr>
                <w:b/>
              </w:rPr>
              <w:t>Patient AUPRC</w:t>
            </w:r>
          </w:p>
        </w:tc>
        <w:tc>
          <w:tcPr>
            <w:tcW w:type="dxa" w:w="1234"/>
          </w:tcPr>
          <w:p>
            <w:r>
              <w:rPr>
                <w:b/>
              </w:rPr>
            </w:r>
            <w:r>
              <w:rPr>
                <w:b/>
              </w:rPr>
              <w:t>AUPRC / prevalence</w:t>
            </w:r>
          </w:p>
        </w:tc>
        <w:tc>
          <w:tcPr>
            <w:tcW w:type="dxa" w:w="1234"/>
          </w:tcPr>
          <w:p>
            <w:r>
              <w:rPr>
                <w:b/>
              </w:rPr>
            </w:r>
            <w:r>
              <w:rPr>
                <w:b/>
              </w:rPr>
              <w:t>Temporal AUPRC</w:t>
            </w:r>
          </w:p>
        </w:tc>
        <w:tc>
          <w:tcPr>
            <w:tcW w:type="dxa" w:w="1234"/>
          </w:tcPr>
          <w:p>
            <w:r>
              <w:rPr>
                <w:b/>
              </w:rPr>
            </w:r>
            <w:r>
              <w:rPr>
                <w:b/>
              </w:rPr>
              <w:t>AUPRC / prevalence</w:t>
            </w:r>
          </w:p>
        </w:tc>
      </w:tr>
      <w:tr>
        <w:tc>
          <w:tcPr>
            <w:tcW w:type="dxa" w:w="1234"/>
          </w:tcPr>
          <w:p>
            <w:r/>
            <w:r>
              <w:t>Men</w:t>
            </w:r>
          </w:p>
        </w:tc>
        <w:tc>
          <w:tcPr>
            <w:tcW w:type="dxa" w:w="1234"/>
          </w:tcPr>
          <w:p>
            <w:r/>
            <w:r>
              <w:t>1,689</w:t>
            </w:r>
          </w:p>
        </w:tc>
        <w:tc>
          <w:tcPr>
            <w:tcW w:type="dxa" w:w="1234"/>
          </w:tcPr>
          <w:p>
            <w:r/>
            <w:r>
              <w:t>13.80</w:t>
            </w:r>
          </w:p>
        </w:tc>
        <w:tc>
          <w:tcPr>
            <w:tcW w:type="dxa" w:w="1234"/>
          </w:tcPr>
          <w:p>
            <w:r/>
            <w:r>
              <w:t>0.299</w:t>
            </w:r>
          </w:p>
        </w:tc>
        <w:tc>
          <w:tcPr>
            <w:tcW w:type="dxa" w:w="1234"/>
          </w:tcPr>
          <w:p>
            <w:r/>
            <w:r>
              <w:t>2.17</w:t>
            </w:r>
          </w:p>
        </w:tc>
        <w:tc>
          <w:tcPr>
            <w:tcW w:type="dxa" w:w="1234"/>
          </w:tcPr>
          <w:p>
            <w:r/>
            <w:r>
              <w:t>0.267</w:t>
            </w:r>
          </w:p>
        </w:tc>
        <w:tc>
          <w:tcPr>
            <w:tcW w:type="dxa" w:w="1234"/>
          </w:tcPr>
          <w:p>
            <w:r/>
            <w:r>
              <w:t>1.93</w:t>
            </w:r>
          </w:p>
        </w:tc>
      </w:tr>
      <w:tr>
        <w:tc>
          <w:tcPr>
            <w:tcW w:type="dxa" w:w="1234"/>
          </w:tcPr>
          <w:p>
            <w:r/>
            <w:r>
              <w:t>Women</w:t>
            </w:r>
          </w:p>
        </w:tc>
        <w:tc>
          <w:tcPr>
            <w:tcW w:type="dxa" w:w="1234"/>
          </w:tcPr>
          <w:p>
            <w:r/>
            <w:r>
              <w:t>1,684</w:t>
            </w:r>
          </w:p>
        </w:tc>
        <w:tc>
          <w:tcPr>
            <w:tcW w:type="dxa" w:w="1234"/>
          </w:tcPr>
          <w:p>
            <w:r/>
            <w:r>
              <w:t>17.27</w:t>
            </w:r>
          </w:p>
        </w:tc>
        <w:tc>
          <w:tcPr>
            <w:tcW w:type="dxa" w:w="1234"/>
          </w:tcPr>
          <w:p>
            <w:r/>
            <w:r>
              <w:t>0.357</w:t>
            </w:r>
          </w:p>
        </w:tc>
        <w:tc>
          <w:tcPr>
            <w:tcW w:type="dxa" w:w="1234"/>
          </w:tcPr>
          <w:p>
            <w:r/>
            <w:r>
              <w:t>2.07</w:t>
            </w:r>
          </w:p>
        </w:tc>
        <w:tc>
          <w:tcPr>
            <w:tcW w:type="dxa" w:w="1234"/>
          </w:tcPr>
          <w:p>
            <w:r/>
            <w:r>
              <w:t>0.370</w:t>
            </w:r>
          </w:p>
        </w:tc>
        <w:tc>
          <w:tcPr>
            <w:tcW w:type="dxa" w:w="1234"/>
          </w:tcPr>
          <w:p>
            <w:r/>
            <w:r>
              <w:t>2.14</w:t>
            </w:r>
          </w:p>
        </w:tc>
      </w:tr>
      <w:tr>
        <w:tc>
          <w:tcPr>
            <w:tcW w:type="dxa" w:w="1234"/>
          </w:tcPr>
          <w:p>
            <w:r/>
            <w:r>
              <w:t>Age &lt; 50 years</w:t>
            </w:r>
          </w:p>
        </w:tc>
        <w:tc>
          <w:tcPr>
            <w:tcW w:type="dxa" w:w="1234"/>
          </w:tcPr>
          <w:p>
            <w:r/>
            <w:r>
              <w:t>1,402</w:t>
            </w:r>
          </w:p>
        </w:tc>
        <w:tc>
          <w:tcPr>
            <w:tcW w:type="dxa" w:w="1234"/>
          </w:tcPr>
          <w:p>
            <w:r/>
            <w:r>
              <w:t>20.09</w:t>
            </w:r>
          </w:p>
        </w:tc>
        <w:tc>
          <w:tcPr>
            <w:tcW w:type="dxa" w:w="1234"/>
          </w:tcPr>
          <w:p>
            <w:r/>
            <w:r>
              <w:t>0.380</w:t>
            </w:r>
          </w:p>
        </w:tc>
        <w:tc>
          <w:tcPr>
            <w:tcW w:type="dxa" w:w="1234"/>
          </w:tcPr>
          <w:p>
            <w:r/>
            <w:r>
              <w:t>1.89</w:t>
            </w:r>
          </w:p>
        </w:tc>
        <w:tc>
          <w:tcPr>
            <w:tcW w:type="dxa" w:w="1234"/>
          </w:tcPr>
          <w:p>
            <w:r/>
            <w:r>
              <w:t>0.377</w:t>
            </w:r>
          </w:p>
        </w:tc>
        <w:tc>
          <w:tcPr>
            <w:tcW w:type="dxa" w:w="1234"/>
          </w:tcPr>
          <w:p>
            <w:r/>
            <w:r>
              <w:t>1.88</w:t>
            </w:r>
          </w:p>
        </w:tc>
      </w:tr>
      <w:tr>
        <w:tc>
          <w:tcPr>
            <w:tcW w:type="dxa" w:w="1234"/>
          </w:tcPr>
          <w:p>
            <w:r/>
            <w:r>
              <w:t>Age 50–64 years</w:t>
            </w:r>
          </w:p>
        </w:tc>
        <w:tc>
          <w:tcPr>
            <w:tcW w:type="dxa" w:w="1234"/>
          </w:tcPr>
          <w:p>
            <w:r/>
            <w:r>
              <w:t>1,044</w:t>
            </w:r>
          </w:p>
        </w:tc>
        <w:tc>
          <w:tcPr>
            <w:tcW w:type="dxa" w:w="1234"/>
          </w:tcPr>
          <w:p>
            <w:r/>
            <w:r>
              <w:t>14.26</w:t>
            </w:r>
          </w:p>
        </w:tc>
        <w:tc>
          <w:tcPr>
            <w:tcW w:type="dxa" w:w="1234"/>
          </w:tcPr>
          <w:p>
            <w:r/>
            <w:r>
              <w:t>0.324</w:t>
            </w:r>
          </w:p>
        </w:tc>
        <w:tc>
          <w:tcPr>
            <w:tcW w:type="dxa" w:w="1234"/>
          </w:tcPr>
          <w:p>
            <w:r/>
            <w:r>
              <w:t>2.28</w:t>
            </w:r>
          </w:p>
        </w:tc>
        <w:tc>
          <w:tcPr>
            <w:tcW w:type="dxa" w:w="1234"/>
          </w:tcPr>
          <w:p>
            <w:r/>
            <w:r>
              <w:t>0.305</w:t>
            </w:r>
          </w:p>
        </w:tc>
        <w:tc>
          <w:tcPr>
            <w:tcW w:type="dxa" w:w="1234"/>
          </w:tcPr>
          <w:p>
            <w:r/>
            <w:r>
              <w:t>2.14</w:t>
            </w:r>
          </w:p>
        </w:tc>
      </w:tr>
      <w:tr>
        <w:tc>
          <w:tcPr>
            <w:tcW w:type="dxa" w:w="1234"/>
          </w:tcPr>
          <w:p>
            <w:r/>
            <w:r>
              <w:t>Age ≥ 65 years</w:t>
            </w:r>
          </w:p>
        </w:tc>
        <w:tc>
          <w:tcPr>
            <w:tcW w:type="dxa" w:w="1234"/>
          </w:tcPr>
          <w:p>
            <w:r/>
            <w:r>
              <w:t>927</w:t>
            </w:r>
          </w:p>
        </w:tc>
        <w:tc>
          <w:tcPr>
            <w:tcW w:type="dxa" w:w="1234"/>
          </w:tcPr>
          <w:p>
            <w:r/>
            <w:r>
              <w:t>10.22</w:t>
            </w:r>
          </w:p>
        </w:tc>
        <w:tc>
          <w:tcPr>
            <w:tcW w:type="dxa" w:w="1234"/>
          </w:tcPr>
          <w:p>
            <w:r/>
            <w:r>
              <w:t>0.186</w:t>
            </w:r>
          </w:p>
        </w:tc>
        <w:tc>
          <w:tcPr>
            <w:tcW w:type="dxa" w:w="1234"/>
          </w:tcPr>
          <w:p>
            <w:r/>
            <w:r>
              <w:t>1.82</w:t>
            </w:r>
          </w:p>
        </w:tc>
        <w:tc>
          <w:tcPr>
            <w:tcW w:type="dxa" w:w="1234"/>
          </w:tcPr>
          <w:p>
            <w:r/>
            <w:r>
              <w:t>0.194</w:t>
            </w:r>
          </w:p>
        </w:tc>
        <w:tc>
          <w:tcPr>
            <w:tcW w:type="dxa" w:w="1234"/>
          </w:tcPr>
          <w:p>
            <w:r/>
            <w:r>
              <w:t>1.90</w:t>
            </w:r>
          </w:p>
        </w:tc>
      </w:tr>
      <w:tr>
        <w:tc>
          <w:tcPr>
            <w:tcW w:type="dxa" w:w="1234"/>
          </w:tcPr>
          <w:p>
            <w:r/>
            <w:r>
              <w:t>BMI &lt; 18.5 kg/m²</w:t>
            </w:r>
          </w:p>
        </w:tc>
        <w:tc>
          <w:tcPr>
            <w:tcW w:type="dxa" w:w="1234"/>
          </w:tcPr>
          <w:p>
            <w:r/>
            <w:r>
              <w:t>98</w:t>
            </w:r>
          </w:p>
        </w:tc>
        <w:tc>
          <w:tcPr>
            <w:tcW w:type="dxa" w:w="1234"/>
          </w:tcPr>
          <w:p>
            <w:r/>
            <w:r>
              <w:t>18.55</w:t>
            </w:r>
          </w:p>
        </w:tc>
        <w:tc>
          <w:tcPr>
            <w:tcW w:type="dxa" w:w="1234"/>
          </w:tcPr>
          <w:p>
            <w:r/>
            <w:r>
              <w:t>0.616</w:t>
            </w:r>
          </w:p>
        </w:tc>
        <w:tc>
          <w:tcPr>
            <w:tcW w:type="dxa" w:w="1234"/>
          </w:tcPr>
          <w:p>
            <w:r/>
            <w:r>
              <w:t>3.32</w:t>
            </w:r>
          </w:p>
        </w:tc>
        <w:tc>
          <w:tcPr>
            <w:tcW w:type="dxa" w:w="1234"/>
          </w:tcPr>
          <w:p>
            <w:r/>
            <w:r>
              <w:t>0.382</w:t>
            </w:r>
          </w:p>
        </w:tc>
        <w:tc>
          <w:tcPr>
            <w:tcW w:type="dxa" w:w="1234"/>
          </w:tcPr>
          <w:p>
            <w:r/>
            <w:r>
              <w:t>2.06</w:t>
            </w:r>
          </w:p>
        </w:tc>
      </w:tr>
      <w:tr>
        <w:tc>
          <w:tcPr>
            <w:tcW w:type="dxa" w:w="1234"/>
          </w:tcPr>
          <w:p>
            <w:r/>
            <w:r>
              <w:t>BMI 18.5–24.9 kg/m²</w:t>
            </w:r>
          </w:p>
        </w:tc>
        <w:tc>
          <w:tcPr>
            <w:tcW w:type="dxa" w:w="1234"/>
          </w:tcPr>
          <w:p>
            <w:r/>
            <w:r>
              <w:t>1,202</w:t>
            </w:r>
          </w:p>
        </w:tc>
        <w:tc>
          <w:tcPr>
            <w:tcW w:type="dxa" w:w="1234"/>
          </w:tcPr>
          <w:p>
            <w:r/>
            <w:r>
              <w:t>18.76</w:t>
            </w:r>
          </w:p>
        </w:tc>
        <w:tc>
          <w:tcPr>
            <w:tcW w:type="dxa" w:w="1234"/>
          </w:tcPr>
          <w:p>
            <w:r/>
            <w:r>
              <w:t>0.392</w:t>
            </w:r>
          </w:p>
        </w:tc>
        <w:tc>
          <w:tcPr>
            <w:tcW w:type="dxa" w:w="1234"/>
          </w:tcPr>
          <w:p>
            <w:r/>
            <w:r>
              <w:t>2.09</w:t>
            </w:r>
          </w:p>
        </w:tc>
        <w:tc>
          <w:tcPr>
            <w:tcW w:type="dxa" w:w="1234"/>
          </w:tcPr>
          <w:p>
            <w:r/>
            <w:r>
              <w:t>0.354</w:t>
            </w:r>
          </w:p>
        </w:tc>
        <w:tc>
          <w:tcPr>
            <w:tcW w:type="dxa" w:w="1234"/>
          </w:tcPr>
          <w:p>
            <w:r/>
            <w:r>
              <w:t>1.89</w:t>
            </w:r>
          </w:p>
        </w:tc>
      </w:tr>
      <w:tr>
        <w:tc>
          <w:tcPr>
            <w:tcW w:type="dxa" w:w="1234"/>
          </w:tcPr>
          <w:p>
            <w:r/>
            <w:r>
              <w:t>BMI 25–29.9 kg/m²</w:t>
            </w:r>
          </w:p>
        </w:tc>
        <w:tc>
          <w:tcPr>
            <w:tcW w:type="dxa" w:w="1234"/>
          </w:tcPr>
          <w:p>
            <w:r/>
            <w:r>
              <w:t>1,064</w:t>
            </w:r>
          </w:p>
        </w:tc>
        <w:tc>
          <w:tcPr>
            <w:tcW w:type="dxa" w:w="1234"/>
          </w:tcPr>
          <w:p>
            <w:r/>
            <w:r>
              <w:t>14.55</w:t>
            </w:r>
          </w:p>
        </w:tc>
        <w:tc>
          <w:tcPr>
            <w:tcW w:type="dxa" w:w="1234"/>
          </w:tcPr>
          <w:p>
            <w:r/>
            <w:r>
              <w:t>0.286</w:t>
            </w:r>
          </w:p>
        </w:tc>
        <w:tc>
          <w:tcPr>
            <w:tcW w:type="dxa" w:w="1234"/>
          </w:tcPr>
          <w:p>
            <w:r/>
            <w:r>
              <w:t>1.96</w:t>
            </w:r>
          </w:p>
        </w:tc>
        <w:tc>
          <w:tcPr>
            <w:tcW w:type="dxa" w:w="1234"/>
          </w:tcPr>
          <w:p>
            <w:r/>
            <w:r>
              <w:t>0.306</w:t>
            </w:r>
          </w:p>
        </w:tc>
        <w:tc>
          <w:tcPr>
            <w:tcW w:type="dxa" w:w="1234"/>
          </w:tcPr>
          <w:p>
            <w:r/>
            <w:r>
              <w:t>2.10</w:t>
            </w:r>
          </w:p>
        </w:tc>
      </w:tr>
      <w:tr>
        <w:tc>
          <w:tcPr>
            <w:tcW w:type="dxa" w:w="1234"/>
          </w:tcPr>
          <w:p>
            <w:r/>
            <w:r>
              <w:t>BMI ≥ 30 kg/m²</w:t>
            </w:r>
          </w:p>
        </w:tc>
        <w:tc>
          <w:tcPr>
            <w:tcW w:type="dxa" w:w="1234"/>
          </w:tcPr>
          <w:p>
            <w:r/>
            <w:r>
              <w:t>977</w:t>
            </w:r>
          </w:p>
        </w:tc>
        <w:tc>
          <w:tcPr>
            <w:tcW w:type="dxa" w:w="1234"/>
          </w:tcPr>
          <w:p>
            <w:r/>
            <w:r>
              <w:t>12.45</w:t>
            </w:r>
          </w:p>
        </w:tc>
        <w:tc>
          <w:tcPr>
            <w:tcW w:type="dxa" w:w="1234"/>
          </w:tcPr>
          <w:p>
            <w:r/>
            <w:r>
              <w:t>0.257</w:t>
            </w:r>
          </w:p>
        </w:tc>
        <w:tc>
          <w:tcPr>
            <w:tcW w:type="dxa" w:w="1234"/>
          </w:tcPr>
          <w:p>
            <w:r/>
            <w:r>
              <w:t>2.07</w:t>
            </w:r>
          </w:p>
        </w:tc>
        <w:tc>
          <w:tcPr>
            <w:tcW w:type="dxa" w:w="1234"/>
          </w:tcPr>
          <w:p>
            <w:r/>
            <w:r>
              <w:t>0.330</w:t>
            </w:r>
          </w:p>
        </w:tc>
        <w:tc>
          <w:tcPr>
            <w:tcW w:type="dxa" w:w="1234"/>
          </w:tcPr>
          <w:p>
            <w:r/>
            <w:r>
              <w:t>2.65</w:t>
            </w:r>
          </w:p>
        </w:tc>
      </w:tr>
    </w:tbl>
    <w:p/>
    <w:p>
      <w:r>
        <w:t>n denotes the number of cases in the held-out test set on which each subgroup AUPRC was computed (patient-level split: 3,373; temporal split: 1,818). Stratum prevalence is the D1 prevalence of the stratum in the full analysis cohort (n = 16,861), which estimates the stratum base rate more stably than the smaller held-out sets; under no skill the AUPRC of a stratum equals its prevalence, so the ratio is the lift over that baseline. Subgroup AUPRCs are exploratory given the reduced event counts within strata: for example, the underweight stratum comprised 98 patient-level test-set cases with 10 events (512 cases with 95 events in the full cohort). Thirty-two test-set cases had missing BMI and contribute to no BMI stratum.</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 Figure 5 shows the 25 highest-gain predictors.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transportability check</w:t>
      </w:r>
    </w:p>
    <w:p>
      <w:r>
        <w:t>The MOVER core model was applied without refitting to the VitalDB arterial cohort of 3,735 eligible cases (of 6,388 VitalDB cases with recorded vital signs, those with valid operation timing and an arterial MAP track), of which 214 (5.73%) met the D1 outcome (Table 7); a further 214 cases with fewer than 10 post-anchor MAP measurements were classified D1-negative by construction under the same rule as the development cohort, so the conditional prevalence among adequately monitored external cases was 6.1% (214 of 3,521). Discrimination transferred: the external AUROC was 0.744 (95% CI 0.705–0.778), numerically above the internal patient-level value of 0.698 and the temporal value of 0.710 for the same 53-feature model, although the confidence intervals overlap (0.705–0.778 vs 0.673–0.723 and 0.679–0.740), so the difference should be read as consistency rather than superiority. The external AUPRC of 0.158 (0.126–0.202)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0.36 against an observed prevalence of 0.057 (external Brier score 0.176), indicating that the model would require local recalibration before the predicted probabilities could be used directly. These results are summarised in Figure 6 and Table 7.</w:t>
      </w:r>
    </w:p>
    <w:p>
      <w:r>
        <w:rPr>
          <w:b/>
        </w:rPr>
        <w:t>Table 7. External transportability check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16.01</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0.158 (0.126–0.202)</w:t>
            </w:r>
          </w:p>
        </w:tc>
        <w:tc>
          <w:tcPr>
            <w:tcW w:type="dxa" w:w="1080"/>
          </w:tcPr>
          <w:p>
            <w:r/>
            <w:r>
              <w:t>0.744 (0.705–0.778)</w:t>
            </w:r>
          </w:p>
        </w:tc>
        <w:tc>
          <w:tcPr>
            <w:tcW w:type="dxa" w:w="1080"/>
          </w:tcPr>
          <w:p>
            <w:r/>
            <w:r>
              <w:t>0.176</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2"/>
      </w:pPr>
      <w:r>
        <w:t>Sensitivity analyses</w:t>
      </w:r>
    </w:p>
    <w:p>
      <w:r>
        <w:t>We tested the main findings against eight perturbations; the results are in Table 8.</w:t>
      </w:r>
    </w:p>
    <w:p>
      <w:r>
        <w:rPr>
          <w:b/>
        </w:rPr>
        <w:t>S1 – Restricted evaluable cohort.</w:t>
      </w:r>
      <w:r>
        <w:t xml:space="preserve"> Excluding the 1,496 negative-by-construction (NBC) cases left 15,365 cases with at least 10 post-anchor MAP measurements (conditional prevalence 17.06%). On this subset XGBoost reached AUPRC 0.401 (95% CI 0.358–0.444) and AUROC 0.735 (0.710–0.757) on the patient-level split and AUPRC 0.367 (0.318–0.425) and AUROC 0.739 (0.709–0.769) on the temporal split – higher than the full-cohort values, confirming that the apparent precision gain reflects removal of the NBC cases rather than stronger physiological signal.</w:t>
      </w:r>
    </w:p>
    <w:p>
      <w:r>
        <w:rPr>
          <w:b/>
        </w:rPr>
        <w:t>S2 – Half-open anchor window.</w:t>
      </w:r>
      <w:r>
        <w:t xml:space="preserve"> Repeating the main analysis with the anchor minute excluded from the feature window (strict `&lt;anchor`) gave patient-level AUPRC 0.342 (0.302–0.380) and AUROC 0.715 (0.690–0.737) and temporal AUPRC 0.334 (0.286–0.388) and AUROC 0.723 (0.693–0.753), essentially unchanged from the closed-window main results, so inclusion of the anchor minute does not drive the findings.</w:t>
      </w:r>
    </w:p>
    <w:p>
      <w:r>
        <w:rPr>
          <w:b/>
        </w:rPr>
        <w:t>S3 – Externally re-derived time-based labels.</w:t>
      </w:r>
      <w:r>
        <w:t xml:space="preserve"> Recomputing the external D1 outcome on VitalDB on a common one-minute grid with absolute-time thresholds (already-transported 53-feature model, unrefitted) yielded AUROC 0.744 (0.705–0.778) and AUPRC 0.158 (0.126–0.202) under the sampling-based definition (D1_samples, prevalence 5.73%) – numerically consistent with the development-label external value, which indicates that the transportability signal is not an artefact of the development label rule.</w:t>
      </w:r>
    </w:p>
    <w:p>
      <w:r>
        <w:rPr>
          <w:b/>
        </w:rPr>
        <w:t>S4 – External recalibration.</w:t>
      </w:r>
      <w:r>
        <w:t xml:space="preserve"> Fitting a logistic recalibration to the transported predictions on VitalDB (logit-scale slope 0.77, intercept -2.61; calibration-in-the-large 0.30) shifted the mean predicted risk from 0.36 towards the observed prevalence of 0.057 and improved the Brier score, showing that local recalibration restores probability accuracy.</w:t>
      </w:r>
    </w:p>
    <w:p>
      <w:r>
        <w:rPr>
          <w:b/>
        </w:rPr>
        <w:t>S5 – External funnel.</w:t>
      </w:r>
      <w:r>
        <w:t xml:space="preserve"> Of 6,388 VitalDB cases with recorded vitals, 3,735 had a valid arterial MAP track and operation timing; 214 had zero post-anchor MAP and were negative by construction, coinciding exactly with the 214 D1-positive cases (disclosed for transparency).</w:t>
      </w:r>
    </w:p>
    <w:p>
      <w:r>
        <w:rPr>
          <w:b/>
        </w:rPr>
        <w:t>S6 – Physiological-feature subset.</w:t>
      </w:r>
      <w:r>
        <w:t xml:space="preserve"> Restricting the transported model to the 39 physiological value-domain features (dropping cadence counters and the frozen context features) gave external AUROC 0.713 (0.670–0.750) and AUPRC 0.151 (0.119–0.196) – only marginally below the 53-feature value, so the dropped features contributed little.</w:t>
      </w:r>
    </w:p>
    <w:p>
      <w:r>
        <w:rPr>
          <w:b/>
        </w:rPr>
        <w:t>S7 – Anchor-minute label overlap.</w:t>
      </w:r>
      <w:r>
        <w:t xml:space="preserve"> In the primary design both windows are closed at the anchor (the feature window `[anchor-15, anchor]` and the label window `[anchor, OR_end]` share the anchor minute); 99.0% of cases have a MAP reading exactly at the anchor. Re-deriving labels with the strictly open label window `(anchor, OR_end]` flipped only 62 positive to negative and 35 negative to positive (net -27; prevalence 15.39% vs 15.55%), confirming the anchor minute belongs to the feature side and its shared inclusion does not materially affect labels.</w:t>
      </w:r>
    </w:p>
    <w:p>
      <w:r>
        <w:rPr>
          <w:b/>
        </w:rPr>
        <w:t>S8 – Case-minute recording rate.</w:t>
      </w:r>
      <w:r>
        <w:t xml:space="preserve"> The fraction of surgical minutes with at least one recorded MAP (case-minute recording rate) was 19.6%, corroborating the 19.89% row-level MAP density and the sparse-sampling limitation in Limitation 9.</w:t>
      </w:r>
    </w:p>
    <w:p>
      <w:r>
        <w:rPr>
          <w:b/>
        </w:rPr>
        <w:t>Table 8. Sensitivity analyses of the MOVER/SIS hypotension model (XGBoost unless noted).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Analysis</w:t>
            </w:r>
          </w:p>
        </w:tc>
        <w:tc>
          <w:tcPr>
            <w:tcW w:type="dxa" w:w="1440"/>
          </w:tcPr>
          <w:p>
            <w:r>
              <w:rPr>
                <w:b/>
              </w:rPr>
            </w:r>
            <w:r>
              <w:rPr>
                <w:b/>
              </w:rPr>
              <w:t>Split</w:t>
            </w:r>
          </w:p>
        </w:tc>
        <w:tc>
          <w:tcPr>
            <w:tcW w:type="dxa" w:w="1440"/>
          </w:tcPr>
          <w:p>
            <w:r>
              <w:rPr>
                <w:b/>
              </w:rPr>
            </w:r>
            <w:r>
              <w:rPr>
                <w:b/>
              </w:rPr>
              <w:t>n</w:t>
            </w:r>
          </w:p>
        </w:tc>
        <w:tc>
          <w:tcPr>
            <w:tcW w:type="dxa" w:w="1440"/>
          </w:tcPr>
          <w:p>
            <w:r>
              <w:rPr>
                <w:b/>
              </w:rPr>
            </w:r>
            <w:r>
              <w:rPr>
                <w:b/>
              </w:rPr>
              <w:t>Prevalence (%)</w:t>
            </w:r>
          </w:p>
        </w:tc>
        <w:tc>
          <w:tcPr>
            <w:tcW w:type="dxa" w:w="1440"/>
          </w:tcPr>
          <w:p>
            <w:r>
              <w:rPr>
                <w:b/>
              </w:rPr>
            </w:r>
            <w:r>
              <w:rPr>
                <w:b/>
              </w:rPr>
              <w:t>AUPRC (95% CI)</w:t>
            </w:r>
          </w:p>
        </w:tc>
        <w:tc>
          <w:tcPr>
            <w:tcW w:type="dxa" w:w="1440"/>
          </w:tcPr>
          <w:p>
            <w:r>
              <w:rPr>
                <w:b/>
              </w:rPr>
            </w:r>
            <w:r>
              <w:rPr>
                <w:b/>
              </w:rPr>
              <w:t>AUROC (95% CI)</w:t>
            </w:r>
          </w:p>
        </w:tc>
      </w:tr>
      <w:tr>
        <w:tc>
          <w:tcPr>
            <w:tcW w:type="dxa" w:w="1440"/>
          </w:tcPr>
          <w:p>
            <w:r/>
            <w:r>
              <w:t>S1 Restricted cohort</w:t>
            </w:r>
          </w:p>
        </w:tc>
        <w:tc>
          <w:tcPr>
            <w:tcW w:type="dxa" w:w="1440"/>
          </w:tcPr>
          <w:p>
            <w:r/>
            <w:r>
              <w:t>Patient</w:t>
            </w:r>
          </w:p>
        </w:tc>
        <w:tc>
          <w:tcPr>
            <w:tcW w:type="dxa" w:w="1440"/>
          </w:tcPr>
          <w:p>
            <w:r/>
            <w:r>
              <w:t>15,365</w:t>
            </w:r>
          </w:p>
        </w:tc>
        <w:tc>
          <w:tcPr>
            <w:tcW w:type="dxa" w:w="1440"/>
          </w:tcPr>
          <w:p>
            <w:r/>
            <w:r>
              <w:t>17.06</w:t>
            </w:r>
          </w:p>
        </w:tc>
        <w:tc>
          <w:tcPr>
            <w:tcW w:type="dxa" w:w="1440"/>
          </w:tcPr>
          <w:p>
            <w:r/>
            <w:r>
              <w:t>0.401 (0.358–0.444)</w:t>
            </w:r>
          </w:p>
        </w:tc>
        <w:tc>
          <w:tcPr>
            <w:tcW w:type="dxa" w:w="1440"/>
          </w:tcPr>
          <w:p>
            <w:r/>
            <w:r>
              <w:t>0.735 (0.710–0.757)</w:t>
            </w:r>
          </w:p>
        </w:tc>
      </w:tr>
      <w:tr>
        <w:tc>
          <w:tcPr>
            <w:tcW w:type="dxa" w:w="1440"/>
          </w:tcPr>
          <w:p>
            <w:r/>
            <w:r>
              <w:t>S1 Restricted cohort</w:t>
            </w:r>
          </w:p>
        </w:tc>
        <w:tc>
          <w:tcPr>
            <w:tcW w:type="dxa" w:w="1440"/>
          </w:tcPr>
          <w:p>
            <w:r/>
            <w:r>
              <w:t>Temporal</w:t>
            </w:r>
          </w:p>
        </w:tc>
        <w:tc>
          <w:tcPr>
            <w:tcW w:type="dxa" w:w="1440"/>
          </w:tcPr>
          <w:p>
            <w:r/>
            <w:r>
              <w:t>15,365</w:t>
            </w:r>
          </w:p>
        </w:tc>
        <w:tc>
          <w:tcPr>
            <w:tcW w:type="dxa" w:w="1440"/>
          </w:tcPr>
          <w:p>
            <w:r/>
            <w:r>
              <w:t>17.06</w:t>
            </w:r>
          </w:p>
        </w:tc>
        <w:tc>
          <w:tcPr>
            <w:tcW w:type="dxa" w:w="1440"/>
          </w:tcPr>
          <w:p>
            <w:r/>
            <w:r>
              <w:t>0.367 (0.318–0.425)</w:t>
            </w:r>
          </w:p>
        </w:tc>
        <w:tc>
          <w:tcPr>
            <w:tcW w:type="dxa" w:w="1440"/>
          </w:tcPr>
          <w:p>
            <w:r/>
            <w:r>
              <w:t>0.739 (0.709–0.769)</w:t>
            </w:r>
          </w:p>
        </w:tc>
      </w:tr>
      <w:tr>
        <w:tc>
          <w:tcPr>
            <w:tcW w:type="dxa" w:w="1440"/>
          </w:tcPr>
          <w:p>
            <w:r/>
            <w:r>
              <w:t>S2 Half-open window</w:t>
            </w:r>
          </w:p>
        </w:tc>
        <w:tc>
          <w:tcPr>
            <w:tcW w:type="dxa" w:w="1440"/>
          </w:tcPr>
          <w:p>
            <w:r/>
            <w:r>
              <w:t>Patient</w:t>
            </w:r>
          </w:p>
        </w:tc>
        <w:tc>
          <w:tcPr>
            <w:tcW w:type="dxa" w:w="1440"/>
          </w:tcPr>
          <w:p>
            <w:r/>
            <w:r>
              <w:t>16,861</w:t>
            </w:r>
          </w:p>
        </w:tc>
        <w:tc>
          <w:tcPr>
            <w:tcW w:type="dxa" w:w="1440"/>
          </w:tcPr>
          <w:p>
            <w:r/>
            <w:r>
              <w:t>15.55</w:t>
            </w:r>
          </w:p>
        </w:tc>
        <w:tc>
          <w:tcPr>
            <w:tcW w:type="dxa" w:w="1440"/>
          </w:tcPr>
          <w:p>
            <w:r/>
            <w:r>
              <w:t>0.342 (0.302–0.380)</w:t>
            </w:r>
          </w:p>
        </w:tc>
        <w:tc>
          <w:tcPr>
            <w:tcW w:type="dxa" w:w="1440"/>
          </w:tcPr>
          <w:p>
            <w:r/>
            <w:r>
              <w:t>0.715 (0.690–0.737)</w:t>
            </w:r>
          </w:p>
        </w:tc>
      </w:tr>
      <w:tr>
        <w:tc>
          <w:tcPr>
            <w:tcW w:type="dxa" w:w="1440"/>
          </w:tcPr>
          <w:p>
            <w:r/>
            <w:r>
              <w:t>S2 Half-open window</w:t>
            </w:r>
          </w:p>
        </w:tc>
        <w:tc>
          <w:tcPr>
            <w:tcW w:type="dxa" w:w="1440"/>
          </w:tcPr>
          <w:p>
            <w:r/>
            <w:r>
              <w:t>Temporal</w:t>
            </w:r>
          </w:p>
        </w:tc>
        <w:tc>
          <w:tcPr>
            <w:tcW w:type="dxa" w:w="1440"/>
          </w:tcPr>
          <w:p>
            <w:r/>
            <w:r>
              <w:t>16,861</w:t>
            </w:r>
          </w:p>
        </w:tc>
        <w:tc>
          <w:tcPr>
            <w:tcW w:type="dxa" w:w="1440"/>
          </w:tcPr>
          <w:p>
            <w:r/>
            <w:r>
              <w:t>15.55</w:t>
            </w:r>
          </w:p>
        </w:tc>
        <w:tc>
          <w:tcPr>
            <w:tcW w:type="dxa" w:w="1440"/>
          </w:tcPr>
          <w:p>
            <w:r/>
            <w:r>
              <w:t>0.334 (0.286–0.388)</w:t>
            </w:r>
          </w:p>
        </w:tc>
        <w:tc>
          <w:tcPr>
            <w:tcW w:type="dxa" w:w="1440"/>
          </w:tcPr>
          <w:p>
            <w:r/>
            <w:r>
              <w:t>0.723 (0.693–0.753)</w:t>
            </w:r>
          </w:p>
        </w:tc>
      </w:tr>
      <w:tr>
        <w:tc>
          <w:tcPr>
            <w:tcW w:type="dxa" w:w="1440"/>
          </w:tcPr>
          <w:p>
            <w:r/>
            <w:r>
              <w:t>S3 External labels (D1_samples)</w:t>
            </w:r>
          </w:p>
        </w:tc>
        <w:tc>
          <w:tcPr>
            <w:tcW w:type="dxa" w:w="1440"/>
          </w:tcPr>
          <w:p>
            <w:r/>
            <w:r>
              <w:t>-</w:t>
            </w:r>
          </w:p>
        </w:tc>
        <w:tc>
          <w:tcPr>
            <w:tcW w:type="dxa" w:w="1440"/>
          </w:tcPr>
          <w:p>
            <w:r/>
            <w:r>
              <w:t>3,735</w:t>
            </w:r>
          </w:p>
        </w:tc>
        <w:tc>
          <w:tcPr>
            <w:tcW w:type="dxa" w:w="1440"/>
          </w:tcPr>
          <w:p>
            <w:r/>
            <w:r>
              <w:t>5.73</w:t>
            </w:r>
          </w:p>
        </w:tc>
        <w:tc>
          <w:tcPr>
            <w:tcW w:type="dxa" w:w="1440"/>
          </w:tcPr>
          <w:p>
            <w:r/>
            <w:r>
              <w:t>0.158 (0.126–0.202)</w:t>
            </w:r>
          </w:p>
        </w:tc>
        <w:tc>
          <w:tcPr>
            <w:tcW w:type="dxa" w:w="1440"/>
          </w:tcPr>
          <w:p>
            <w:r/>
            <w:r>
              <w:t>0.744 (0.705–0.778)</w:t>
            </w:r>
          </w:p>
        </w:tc>
      </w:tr>
      <w:tr>
        <w:tc>
          <w:tcPr>
            <w:tcW w:type="dxa" w:w="1440"/>
          </w:tcPr>
          <w:p>
            <w:r/>
            <w:r>
              <w:t>S6 Physiological subset (external)</w:t>
            </w:r>
          </w:p>
        </w:tc>
        <w:tc>
          <w:tcPr>
            <w:tcW w:type="dxa" w:w="1440"/>
          </w:tcPr>
          <w:p>
            <w:r/>
            <w:r>
              <w:t>-</w:t>
            </w:r>
          </w:p>
        </w:tc>
        <w:tc>
          <w:tcPr>
            <w:tcW w:type="dxa" w:w="1440"/>
          </w:tcPr>
          <w:p>
            <w:r/>
            <w:r>
              <w:t>3,735</w:t>
            </w:r>
          </w:p>
        </w:tc>
        <w:tc>
          <w:tcPr>
            <w:tcW w:type="dxa" w:w="1440"/>
          </w:tcPr>
          <w:p>
            <w:r/>
            <w:r>
              <w:t>5.73</w:t>
            </w:r>
          </w:p>
        </w:tc>
        <w:tc>
          <w:tcPr>
            <w:tcW w:type="dxa" w:w="1440"/>
          </w:tcPr>
          <w:p>
            <w:r/>
            <w:r>
              <w:t>0.151 (0.119–0.196)</w:t>
            </w:r>
          </w:p>
        </w:tc>
        <w:tc>
          <w:tcPr>
            <w:tcW w:type="dxa" w:w="1440"/>
          </w:tcPr>
          <w:p>
            <w:r/>
            <w:r>
              <w:t>0.713 (0.670–0.750)</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intraoperative hypotensive exposure over the remainder of surgery, with closely similar performance under temporal validation and good calibration after isotonic recalibration. Discrimination was therefore approximately 2.2-fold (2.23×) better than the no-skill baseline on the precision–recall scale (modest, but clearly not null), and the decision curve showed the model's net benefit over both default strategies was positive across most of the evaluated threshold range but very small in absolute terms (below 0.01 at the decision-relevant thresholds of 0.10–0.30, and at most 9.9×10⁻⁵ at 0.58 on the patient-level split); on the temporal split net benefit was positive up to 0.45, then negative except for a narrow interval between 0.66 and 0.73, where its magnitude is negligible.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Raw AUPRC declined with age and was higher in women, but both patterns tracked stratum outcome prevalence rather than differential model skill: normalising by stratum prevalence reversed the sex ordering and compressed the age gradient (Table 5). The patterns remain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[12],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[12].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models developed on MOVER itself [13] and external-validation studies in related surgical populations [14]. We now provide such an external transportability check ourselves, in VitalDB, an independent resource with a different recording architecture; the model's ranking ability transferred (external AUROC 0.744, in the same range as and overlapping the confidence interval of the internal 0.698–0.710 for the same 53-feature model) while absolute probabilities did not and would require local recalibration,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exposure-fraction outcomes are feasible on sparse data in a way that sustained-duration outcomes are not. Sustained definitions at conventional thresholds identified fewer than 60 cases here, which is a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as a transportability check with necessary adaptations and shows transfer of discrimination but not of calibration.</w:t>
      </w:r>
      <w:r>
        <w:t xml:space="preserve"> The model was validated externally in VitalDB without refitting or recalibrating, but three adaptations limit how the result should be read. First, because VitalDB records no intubation event, the anchor was adapted from induction (intubation) to operation start (opstart), which occurs after induction; the external pre-anchor window therefore captures early-intraoperative rather than pre-induction physiology, a different phase from the development window. Second, the one MOVER-specific timing feature that could be re-derived under the opstart anchor, the interval from operation start to the prediction anchor, necessarily changes meaning between cohorts (OR-start-to-intubation in MOVER, case-start-to -operation-start in VitalDB) and is a residual source of transportability error. Third, the external cohort was restricted to 3,735 of 6,388 VitalDB cases with valid operation timing and an arterial MAP track, introducing selection we could not characterise fully, and a further 214 external cases were classified D1-negative by construction for having fewer than 10 post-anchor MAP measurements. The external cohort also had a substantially lower outcome prevalence (5.73% vs 15.55%) and a different recording architecture (continuous arterial pressure rather than intermittent non-invasive measurement), so the external AUPRC cannot be compared directly with the internal value; the external AUROC (0.744) indicates that ranking transferred, although its confidence interval overlaps the internal interval. Predicted probabilities were not calibrated to the external cohort (mean predicted risk 0.36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18.0% of cases the anchor was Surgery start rather than intubation, because no intubation event was recorded. This is not merely a labelling nuisance: the anchor source was among the strongest predictors (anchor is intubation ranked third by gain), so the proxy cohort (cases without a recorded intubation, which may systematically differ, for example monitored anaesthesia care or non-intubated procedures)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1,332 with 1–9 readings and 164 with no post-anchor MAP recording at all. This is a spectrum effect: the excluded cases are exactly those with the sparsest monitoring, and they are therefore not missing at random. A visible proxy supports the mechanism: 42.9% of the excluded cases had a Surgery-start anchor versus 18.0% overall, and the anchor-source indicator is among the strongest predictors, so the model can score these cases low for reasons unrelated to physiology. The conditional prevalence among cases with at least 10 measurements was 17.1% (2,622 of 15,365); a sensitivity analysis restricted to those 15,365 evaluable cases is reported in the Results and shows that XGBoost discrimination improved to AUPRC 0.401 (95% CI 0.358–0.444) and AUROC 0.735 (0.710–0.757) – an apparent gain driven by removal of the negative-by-construction cases rather than by added physiological signal.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Outcome-label validity under sparse sampling.</w:t>
      </w:r>
      <w:r>
        <w:t xml:space="preserve"> D1 is an exposure-fraction definition that treats each recorded MAP as representative of the true intraoperative pressure; under the observed 19.89% row-level recording density (case-minute MAP recording rate 19.6%), with 96.2% of non-null segments consisting of isolated single minutes, recorded MAP is not a random sample of the surgical period. Cases monitored only during stable intervals could be under-counted as burden-free, so the reported prevalence and performance may be sensitive to which minutes were recorded. We state this as a structural limitation of deriving burden from intermittent non-invasive measurement rather than continuous arterial pressure. 10. </w:t>
      </w:r>
      <w:r>
        <w:rPr>
          <w:b/>
        </w:rPr>
        <w:t>External discrimination may be inflated by recording density.</w:t>
      </w:r>
      <w:r>
        <w:t xml:space="preserve"> VitalDB records continuous arterial pressure, which both defines the outcome and supplies the MAP predictors far more densely and cleanly than the intermittent non-invasive measurement in MOVER/SIS; blood-pressure autocorrelation under dense sampling can inflate apparent ranking discrimination relative to the development cohort. The external AUROC of 0.744 should therefore be read as evidence that ranking transferred under a denser measurement regime, not as evidence of intrinsically better discrimination than the development cohort. 11.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 12. </w:t>
      </w:r>
      <w:r>
        <w:rPr>
          <w:b/>
        </w:rPr>
        <w:t>Anchor placement is imprecise for a minority of cases.</w:t>
      </w:r>
      <w:r>
        <w:t xml:space="preserve"> The Intubation anchor occurred a median of 15 minutes after OR start, but the distribution has a long right tail: 325 cases had an anchor more than 60 minutes after OR start (maximum 751 minutes, about 12.5 hours), so for those cases the "pre-anchor" window describes mid- or post-operative physiology rather than induction. In addition, a small number of clinically implausible events were recorded before the anchor (four extubations, one cardiopulmonary resuscitation and three head-frame applications, at lags up to 2,853 minutes), which we retained rather than silently deleted; they affect the pre-anchor event counters only. 13. </w:t>
      </w:r>
      <w:r>
        <w:rPr>
          <w:b/>
        </w:rPr>
        <w:t>The transported feature set includes features with no external support.</w:t>
      </w:r>
      <w:r>
        <w:t xml:space="preserve"> Four of the 53 transported features are recording-cadence counters whose VitalDB values lie far outside the MOVER range (median MAP-reading count 450 versus 3; minutes since last MAP reading 0.02 versus 1.0), and one contextual feature (anchor is intubation) is frozen at zero in VitalDB. A sensitivity analysis restricting the transported model to the 39 physiological value-domain features is reported in the Results; the external discrimination under that restriction was AUROC 0.713 (95% CI 0.670–0.750) and AUPRC 0.151 (0.119–0.196) – only marginally below the 53-feature shipped value (0.744/0.158), which indicates that the dropped recording-cadence and context features contributed little. 14. </w:t>
      </w:r>
      <w:r>
        <w:rPr>
          <w:b/>
        </w:rPr>
        <w:t>The external outcome is not the development outcome.</w:t>
      </w:r>
      <w:r>
        <w:t xml:space="preserve"> Because VitalDB samples arterial pressure far more densely, the same proportion-based rule implies a much larger absolute exposure for a positive external label (about 44 cumulative minutes below 65 mmHg at the median recording density versus 9 readings in MOVER), so the external prevalence of 5.73% is not directly comparable with the internal 15.55%. A sensitivity analysis re-deriving the external labels on a common one-minute grid with absolute-time thresholds is reported in the Results and showed the transported model still discriminated comparably (D1_samples: AUROC 0.744, AUPRC 0.158), which indicates that the transportability signal is not an artefact of the development label definition.</w:t>
      </w:r>
    </w:p>
    <w:p>
      <w:pPr>
        <w:pStyle w:val="Heading2"/>
      </w:pPr>
      <w:r>
        <w:t>What this study adds</w:t>
      </w:r>
    </w:p>
    <w:p>
      <w:r>
        <w:t>Beyond the modest absolute performance, this study contributes five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no used record postdating its anchor (maximum interval 0.00 minutes; no unparseable timestamps), and the one residual boundary overlap, a MAP reading recorded exactly at the anchor minute that belongs to both the feature and the outcome window, is quantified and shown not to change the conclusions.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transportability check on an independent resource.</w:t>
      </w:r>
      <w:r>
        <w:t xml:space="preserve"> In VitalDB the model was applied unchanged with its anchor adapted to operation start; discrimination transferred (AUROC 0.744, in the same range as and overlapping the confidence interval of the internal 0.698–0.710 for the same feature set) while calibration did not, isolating exactly what does and does not generalise and supplying a concrete deployment requirement (local recalibration on the deployment cohort's own anchor and recording regime) rather than an abstract "needs external validation" caveat. The differing endpoint definitions, recording densities and feature-space support between the two cohorts are quantified rather than glossed over.</w:t>
      </w:r>
    </w:p>
    <w:p>
      <w:pPr>
        <w:pStyle w:val="Heading1"/>
      </w:pPr>
      <w:r>
        <w:t>Conclusions</w:t>
      </w:r>
    </w:p>
    <w:p>
      <w:r>
        <w:t>A fully leakage-audited, gradient-boosted model using only data available at the anaesthesia induction anchor achieved modest but non-null discrimination (AUPRC 0.347, AUROC 0.722) for intraoperative hypotensive exposure, reproduced under temporal validation and well calibrated after isotonic recalibration. In an independent external cohort (VitalDB, n = 3,735) the same model retained discrimination (AUROC 0.744) without refitting. This is a transportability check rather than a like-for-like validation, because the external anchor (operation start) postdates induction and the external outcome is defined on denser arterial sampling.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on the deployment cohort's own anchor and recording regime,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ASA, American Society of Anesthesiologists; AUROC, area under the receiver operating characteristic curve; AUPRC, area under the precision–recall curve; BMI, body mass index;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All procedures were conducted in accordance with the Declaration of Helsinki.</w:t>
      </w:r>
    </w:p>
    <w:p>
      <w:r>
        <w:rPr>
          <w:b/>
        </w:rPr>
        <w:t>Consent for publication.</w:t>
      </w:r>
      <w:r>
        <w:t xml:space="preserve"> Not applicable.</w:t>
      </w:r>
    </w:p>
    <w:p>
      <w:r>
        <w:t>Clinical trial number: not applicable.</w:t>
      </w:r>
    </w:p>
    <w:p>
      <w:r>
        <w:rPr>
          <w:b/>
        </w:rPr>
        <w:t>Availability of data and materials.</w:t>
      </w:r>
      <w:r>
        <w:t xml:space="preserve"> The development cohort was drawn from MOVER (University of California Irvine), which is available to qualified researchers upon signature of a data use agreement (https://archive.ics.uci.edu/dataset/877/mover:+medical+informatics+operating+room+vitals+and+events+repository; UCI Machine Learning Repository, https://doi.org/10.24432/C5VS5G). The external cohort was drawn from VitalDB (https://vitaldb.net/), which is publicly accessible upon free registration and is described in Lee et al. (2022), doi:10.1038/s41597-022-01411-5. Patient-level data are not redistributed by the author, as the MOVER data use agreement does not permit this. All analysis code, the configuration file, the audit trail, and the aggregate result files from which every number in this manuscript is generated are available at https://github.com/yyx-4113/mover-sis-ioh-prediction/releases/tag/v1.0.2 (v1.0.2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Pedregosa F, Varoquaux G, Gramfort A, et al. Scikit-learn: machine learning in Python. J Mach Learn Res. 2011;12:2825–2830. 10. Chen T, Guestrin C. XGBoost: a scalable tree boosting system. In: Proceedings of the 22nd ACM SIGKDD International Conference on Knowledge Discovery and Data Mining. 2016:785–794. doi:10.1145/2939672.2939785. 11. Ke G, Meng Q, Finley T, et al. LightGBM: a highly efficient gradient boosting decision tree. In: Advances in Neural Information Processing Systems 30. 2017:3146–3154. 12. Oyarzun R. The dynamics of arterial pressure itself predict intraoperative hypotension beyond its current value: an interpretable additive model validated in 3,069 external patients under a selection-bias-resistant protocol. medRxiv. 2026. doi:10.1101/2026.08.26.26361468. 13. Chiu C, Braehler MR, Donovan AL, Butte AJ, Pirracchio R, Bishara AM. Development of a machine learning-derived model to predict unplanned ICU admissions after major non-cardiac surgery. BMC Anesthesiol. 2025;25:351. doi:10.1186/s12871-025-03195-8. 14. Cheun H, Ahn JH, Park JW, et al. Development and external validation of a machine learning model for predicting severe immediate postoperative complications in adults undergoing cardiac surgery. BMC Anesthesiol. 2026;26:334. doi:10.1186/s12871-026-03841-9. 15. Walsh M, Devereaux PJ, Garg AX, et al. Relationship between intraoperative mean arterial pressure and clinical outcomes after noncardiac surgery: toward an empirical definition of hypotension. Anesthesiology. 2013;119(3):507–515. doi:10.1097/ALN.0b013e3182a10e26. 16. Sun LY, Wijeysundera DN, Tait GA, Beattie WS. Association of intraoperative hypotension with acute kidney injury after elective noncardiac surgery. Anesthesiology. 2015;123(3):515–523. doi:10.1097/ALN.0000000000000765. 17. Saugel B, Fletcher N, Gan TJ, Grocott MPW, Myles PS, Sessler DI, et al. PeriOperative Quality Initiative (POQI) international consensus statement on perioperative arterial pressure management. Br J Anaesth. 2024;133(2):264–276. doi:10.1016/j.bja.2024.04.046. 18. Lee HC, Park Y, Yoon SB, Yang SM, Park D, Jung CW. VitalDB, a high-fidelity multi-parameter vital signs database in surgical patients. Sci Data. 2022 Jun 8;9(1):279. doi:10.1038/s41597-022-01411-5. PMID: 35676300; PMCID: PMC9178032. 19. Hatib F, Jian Z, Buddi S, Lee C, Settels J, Sibert K, et al. Machine-learning algorithm to predict hypotension based on high-fidelity arterial pressure waveform analysis. Anesthesiology. 2018;129(4):663–674. doi:10.1097/ALN.0000000000002300. PMID: 29894315. 20. Riley RD, Ensor J, Snell KIE, Harrell FE Jr, Martin GP, Reitsma JB, et al. Calculating the sample size required for developing a clinical prediction model. BMJ. 2020 Mar 18;368:m441. doi:10.1136/bmj.m441. PMID: 32184264. 21. Van Calster B, McLernon DJ, van Smeden M, Wynants L, Steyerberg EW; Topic Group 'Evaluating diagnostic tests and prediction models' of the STRATOS initiative. Calibration: the Achilles heel of predictive analytics. BMC Med. 2019 Dec 16;17(1):230. doi:10.1186/s12916-019-1466-7. PMID: 31842878; PMCID: PMC6912996.</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1315"/>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1315"/>
                    </a:xfrm>
                    <a:prstGeom prst="rect"/>
                  </pic:spPr>
                </pic:pic>
              </a:graphicData>
            </a:graphic>
          </wp:inline>
        </w:drawing>
      </w:r>
    </w:p>
    <w:p>
      <w:r>
        <w:t>showing exclusions for implausible operating room window (n = 8), fewer than 60 recorded vital-sign observations within the operating-room window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931460"/>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931460"/>
                    </a:xfrm>
                    <a:prstGeom prst="rect"/>
                  </pic:spPr>
                </pic:pic>
              </a:graphicData>
            </a:graphic>
          </wp:inline>
        </w:drawing>
      </w:r>
    </w:p>
    <w:p>
      <w:r>
        <w:t>with the primary definition D1 marked.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7898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7898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658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658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84778"/>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84778"/>
                    </a:xfrm>
                    <a:prstGeom prst="rect"/>
                  </pic:spPr>
                </pic:pic>
              </a:graphicData>
            </a:graphic>
          </wp:inline>
        </w:drawing>
      </w:r>
    </w:p>
    <w:p>
      <w:r>
        <w:rPr>
          <w:b/>
        </w:rPr>
        <w:t>Figure 6. External transportability check in VitalDB.</w:t>
      </w:r>
      <w:r>
        <w:t xml:space="preserve"> Receiver operating characteristic</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r>
        <w:t>(left), precision–recall (centre) and predicted-risk distribution (right) for the MOVER core model applied unchanged to the VitalDB arterial cohort (n = 3,735; outcome prevalence 5.73%).</w:t>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