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model development and internal validation in the MOVER/SIS cohort</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performance of machine-learning models for anticipating it varies widely, and near-perfect discrimination has been claimed on public datasets whose blood-pressure recordings are sparse. We developed and internally validated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All 206 predictors were truncated at the anchor. Four models were fitted: baseline logistic (age, sex, body mass index), full logistic, XGBoost and LightGBM. Validation used a patient-level 80/20 split (primary) and a temporal split (secondary). The primary metric was area under the precision–recall curve (AUPRC); AUROC and Brier score were secondary; 1,000 bootstrap resamples gave confidence intervals.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(slope 0.909; intercept 0.008). Net benefit at a threshold of 0.15 was 0.050. Performance was higher in women (0.357 vs 0.299), patients under 50 years (0.380 vs 0.186 at ≥65 years) and underweight patients (0.616). Pre-anchor mean MAP was the dominant predictor.</w:t>
      </w:r>
    </w:p>
    <w:p>
      <w:r>
        <w:rPr>
          <w:b/>
        </w:rPr>
        <w:t>Conclusions:</w:t>
      </w:r>
      <w:r>
        <w:t xml:space="preserve"> An anchor-based model using routinely recorded pre-induction data achieved modest but non-null discrimination for cumulative hypotension burden and was well calibrated. Most information resided in the pre-anchor arterial pressure level. External validation is required before clinical application.</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[17] and by a perioperative consensus that recommends keeping intraoperative mean arterial pressure at or above 60 mmHg in at-risk patients [18], and by further work linking intraoperative mean arterial pressure to outcomes [16].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2a (development with internal validation, no external validation). The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both default strategies (treat all, treat none) across the evaluated threshold range, remaining positive up to a threshold of 0.58 on the patient-level split and 0.73 on the temporal split (with a transient dip near 0.67 on the temporal split).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0.58 (patient-level) and 0.73 (temporal).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[13],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[13].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this underscores that our internal-validation design leaves external generalisability untested. Performance of the order of 0.97 would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 and that our own estimate carries the same absence of external validation.</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No external validation.</w:t>
      </w:r>
      <w:r>
        <w:t xml:space="preserve"> This is a single-centre development with internal validation only (TRIPOD type 2a). Discrimination and, in particular, calibration may not transfer.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17.1% (2,622 of 15,365),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2"/>
      </w:pPr>
      <w:r>
        <w:t>What this study adds</w:t>
      </w:r>
    </w:p>
    <w:p>
      <w:r>
        <w:t>Beyond the modest absolute performance, this study contributes four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zero residual horizon overlap (maximum interval 0.00 minutes; no unparseable timestamps).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external validation,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 retrospective waiver letter documenting this basis is being obtained from the IRB.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This manuscript, Table 2 (all 14 definitions computed for every case; see Additional file 1). 10. Pedregosa F, Varoquaux G, Gramfort A, et al. Scikit-learn: machine learning in Python. J Mach Learn Res. 2011;12:2825–2830. 11. Chen T, Guestrin C. XGBoost: a scalable tree boosting system. In: Proceedings of the 22nd ACM SIGKDD International Conference on Knowledge Discovery and Data Mining. 2016:785–794. doi:10.1145/2939672.2939785. 12. Ke G, Meng Q, Finley T, et al. LightGBM: a highly efficient gradient boosting decision tree. In: Advances in Neural Information Processing Systems 30. 2017:3146–3154. 13. Oyarzun R. The dynamics of arterial pressure itself predict intraoperative hypotension beyond its current value: an interpretable additive model validated in 3,069 external patients under a selection-bias-resistant protocol. medRxiv. 2026. doi:10.1101/2026.08.26.26361468. 14. Chiu C, Braehler MR, Donovan AL, Butte AJ, Pirracchio R, Bishara AM. Development of a machine learning-derived model to predict unplanned ICU admissions after major non-cardiac surgery. BMC Anesthesiol. 2025;25:351. doi:10.1186/s12871-025-03195-8. 15. Cheun H, Ahn JH, Park JW, et al. Development and external validation of a machine learning model for predicting severe immediate postoperative complications in adults undergoing cardiac surgery. BMC Anesthesiol. 2026;26:334. doi:10.1186/s12871-026-03841-9. 16. Walsh M, Devereaux PJ, Garg AX, et al. Relationship between intraoperative mean arterial pressure and clinical outcomes after noncardiac surgery: toward an empirical definition of hypotension. Anesthesiology. 2013;119(3):507–515. 17. Sun LY, Wijeysundera DN, Tait GA, Beattie WS. Association of intraoperative hypotension with acute kidney injury after elective noncardiac surgery. Anesthesiology. 2015;123(3):515–523. doi:10.1097/ALN.0000000000000765. 18. Saugel B, Fletcher N, Gan TJ, Grocott MPW, Myles PS, Sessler DI, et al. PeriOperative Quality Initiative (POQI) international consensus statement on perioperative arterial pressure management. Br J Anaesth. 2024;133(2):264–276. doi:10.1016/j.bja.2024.04.046.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