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30"/>
        </w:rPr>
        <w:t>Highlights</w:t>
      </w:r>
    </w:p>
    <w:p>
      <w:pPr>
        <w:pStyle w:val="ListBullet"/>
      </w:pPr>
      <w:r>
        <w:rPr>
          <w:rFonts w:ascii="Times New Roman" w:hAnsi="Times New Roman"/>
          <w:sz w:val="24"/>
        </w:rPr>
        <w:t>Opioid (morphine) exposure is largely transcriptionally quiescent in mouse spinal microglia.</w:t>
      </w:r>
    </w:p>
    <w:p>
      <w:pPr>
        <w:pStyle w:val="ListBullet"/>
      </w:pPr>
      <w:r>
        <w:rPr>
          <w:rFonts w:ascii="Times New Roman" w:hAnsi="Times New Roman"/>
          <w:sz w:val="24"/>
        </w:rPr>
        <w:t>Neuropathic pain drives a 3,069-gene microglial activation hub universe (6 hubs).</w:t>
      </w:r>
    </w:p>
    <w:p>
      <w:pPr>
        <w:pStyle w:val="ListBullet"/>
      </w:pPr>
      <w:r>
        <w:rPr>
          <w:rFonts w:ascii="Times New Roman" w:hAnsi="Times New Roman"/>
          <w:sz w:val="24"/>
        </w:rPr>
        <w:t>The hub universe is anchored to RUNX1 (ChEA_2016 p=3.4x10-4, OR=1.57).</w:t>
      </w:r>
    </w:p>
    <w:p>
      <w:pPr>
        <w:pStyle w:val="ListBullet"/>
      </w:pPr>
      <w:r>
        <w:rPr>
          <w:rFonts w:ascii="Times New Roman" w:hAnsi="Times New Roman"/>
          <w:sz w:val="24"/>
        </w:rPr>
        <w:t>Reversal landscape converges on NF-kB axis; phenazone is a brain-penetrant lead.</w:t>
      </w:r>
    </w:p>
    <w:p>
      <w:pPr>
        <w:pStyle w:val="ListBullet"/>
      </w:pPr>
      <w:r>
        <w:rPr>
          <w:rFonts w:ascii="Times New Roman" w:hAnsi="Times New Roman"/>
          <w:sz w:val="24"/>
        </w:rPr>
        <w:t>Honest reporting: G1/G4 NOT MET; docking specific but modest (decoy p~0.02).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