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0"/>
        </w:rPr>
        <w:t>Reporting checklist &amp; transparency statement (PLOS ONE submission)</w:t>
      </w:r>
    </w:p>
    <w:p>
      <w:r>
        <w:rPr>
          <w:rFonts w:ascii="Times New Roman" w:hAnsi="Times New Roman"/>
          <w:b w:val="0"/>
          <w:i w:val="0"/>
          <w:sz w:val="24"/>
        </w:rPr>
        <w:t>**Study type:** Computational / in-silico re-analysis of public transcriptomics (no prospectively enrolled cohort).</w:t>
      </w:r>
    </w:p>
    <w:p>
      <w:r>
        <w:rPr>
          <w:rFonts w:ascii="Times New Roman" w:hAnsi="Times New Roman"/>
          <w:b/>
          <w:i w:val="0"/>
          <w:sz w:val="24"/>
        </w:rPr>
        <w:t>Applicable EQUATOR / discipline checklists.</w:t>
      </w:r>
    </w:p>
    <w:p>
      <w:r>
        <w:rPr>
          <w:rFonts w:ascii="Times New Roman" w:hAnsi="Times New Roman"/>
          <w:b w:val="0"/>
          <w:i w:val="0"/>
          <w:sz w:val="24"/>
        </w:rPr>
        <w:t>- Transcriptomics: MINSEQE framework (MINimal information about a high-throughput SEQuencing Experiment), extended to RNA-seq — satisfied via public repository citation (GEO), accession numbers (GSE117320, GSE92742), and deposited analysis scripts specifying all processing.</w:t>
      </w:r>
    </w:p>
    <w:p>
      <w:r>
        <w:rPr>
          <w:rFonts w:ascii="Times New Roman" w:hAnsi="Times New Roman"/>
          <w:b w:val="0"/>
          <w:i w:val="0"/>
          <w:sz w:val="24"/>
        </w:rPr>
        <w:t>- No CONSORT (no RCT), no STROBE (no observational cohort), no PRISMA (no systematic review) applies.</w:t>
      </w:r>
    </w:p>
    <w:p>
      <w:r>
        <w:rPr>
          <w:rFonts w:ascii="Times New Roman" w:hAnsi="Times New Roman"/>
          <w:b/>
          <w:i w:val="0"/>
          <w:sz w:val="24"/>
        </w:rPr>
        <w:t>Methodological transparency (soundness-based review).</w:t>
      </w:r>
    </w:p>
    <w:p>
      <w:r>
        <w:rPr>
          <w:rFonts w:ascii="Times New Roman" w:hAnsi="Times New Roman"/>
          <w:b w:val="0"/>
          <w:i w:val="0"/>
          <w:sz w:val="24"/>
        </w:rPr>
        <w:t>- Pre-registered quality gates G0-G6 documented in manuscript §5 and `06_docking/README.md`.</w:t>
      </w:r>
    </w:p>
    <w:p>
      <w:r>
        <w:rPr>
          <w:rFonts w:ascii="Times New Roman" w:hAnsi="Times New Roman"/>
          <w:b w:val="0"/>
          <w:i w:val="0"/>
          <w:sz w:val="24"/>
        </w:rPr>
        <w:t>- Software versions: DESeq2 (count-based calls from source authors), Enrichr ChEA_2016, AutoDock Vina 1.2.7 (local) / 1.2.3 (HPC), OpenBabel 3.2.1, Meeko 0.8.0, RDKit.</w:t>
      </w:r>
    </w:p>
    <w:p>
      <w:r>
        <w:rPr>
          <w:rFonts w:ascii="Times New Roman" w:hAnsi="Times New Roman"/>
          <w:b w:val="0"/>
          <w:i w:val="0"/>
          <w:sz w:val="24"/>
        </w:rPr>
        <w:t>- Randomization / blinding: not applicable (secondary analysis of published data).</w:t>
      </w:r>
    </w:p>
    <w:p>
      <w:r>
        <w:rPr>
          <w:rFonts w:ascii="Times New Roman" w:hAnsi="Times New Roman"/>
          <w:b w:val="0"/>
          <w:i w:val="0"/>
          <w:sz w:val="24"/>
        </w:rPr>
        <w:t>- Statistical tests: DESeq2 Wald test; Fisher exact for overlap; Mann-Whitney U for LINCS recovery; exact one-sided p for decoy panel — all justified in §2/§3.</w:t>
      </w:r>
    </w:p>
    <w:p>
      <w:r>
        <w:rPr>
          <w:rFonts w:ascii="Times New Roman" w:hAnsi="Times New Roman"/>
          <w:b w:val="0"/>
          <w:i w:val="0"/>
          <w:sz w:val="24"/>
        </w:rPr>
        <w:t>[Upload this file as Supporting Information S1 Text if the submission system requests a checklist.]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