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STROBE-MR 2021 Compliance Checklist — Item-by-Item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Study: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Times New Roman" w:hAnsi="Times New Roman"/>
          <w:b w:val="0"/>
          <w:i/>
        </w:rPr>
        <w:t>Genetically predicted multisite chronic pain is associated with lower cognitive performance: a bidirectional Mendelian randomization study with NHANES and CHARLS longitudinal evidence</w:t>
      </w:r>
      <w:r>
        <w:rPr>
          <w:rFonts w:ascii="Times New Roman" w:hAnsi="Times New Roman"/>
          <w:b w:val="0"/>
          <w:i w:val="0"/>
        </w:rPr>
        <w:t xml:space="preserve"> (version A: MR + NHANES descriptive + CHARLS longitudinal).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Guideline:</w:t>
      </w:r>
      <w:r>
        <w:rPr>
          <w:rFonts w:ascii="Times New Roman" w:hAnsi="Times New Roman"/>
          <w:b w:val="0"/>
          <w:i w:val="0"/>
        </w:rPr>
        <w:t xml:space="preserve"> STROBE-MR 2021 — Skrivankova VW, et al. </w:t>
      </w:r>
      <w:r>
        <w:rPr>
          <w:rFonts w:ascii="Times New Roman" w:hAnsi="Times New Roman"/>
          <w:b w:val="0"/>
          <w:i/>
        </w:rPr>
        <w:t>JAMA.</w:t>
      </w:r>
      <w:r>
        <w:rPr>
          <w:rFonts w:ascii="Times New Roman" w:hAnsi="Times New Roman"/>
          <w:b w:val="0"/>
          <w:i w:val="0"/>
        </w:rPr>
        <w:t xml:space="preserve"> 2021;326(16):1614–1621 (PMID 34698778). 20 items.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Status legend:</w:t>
      </w:r>
      <w:r>
        <w:rPr>
          <w:rFonts w:ascii="Times New Roman" w:hAnsi="Times New Roman"/>
          <w:b w:val="0"/>
          <w:i w:val="0"/>
        </w:rPr>
        <w:t xml:space="preserve"> [Addressed] addressed in manuscript · [Partial] partial / to be added · [Pending data] </w:t>
      </w:r>
      <w:r>
        <w:rPr>
          <w:rFonts w:ascii="Times New Roman" w:hAnsi="Times New Roman"/>
          <w:b/>
          <w:i w:val="0"/>
        </w:rPr>
        <w:t>[PENDING DATA]</w:t>
      </w:r>
      <w:r>
        <w:rPr>
          <w:rFonts w:ascii="Times New Roman" w:hAnsi="Times New Roman"/>
          <w:b w:val="0"/>
          <w:i w:val="0"/>
        </w:rPr>
        <w:t xml:space="preserve"> (blocked on CHARLS access).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#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STROBE-MR item (2021)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Mapped to manuscript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Status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Title and abstract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— identify the study as an MR study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Title ("Mendelian randomization study"); Abstract states MR design, methods, results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Background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— explain the scientific/rationale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§1 Introduction (pain–cognition epidemiology, reverse causation &amp; confounding as MR motivation)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Objectives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— state purpose; causal estimates valid only under MR assumptions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§1 final paragraph (aims i–iii + NHANES/CHARLS support); assumptions named in §2.4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Study design &amp; data sources — Setting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§2.1 (two-sample MR + cohort support); §2.2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Study design &amp; data sources — Participants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(eligibility, if individual-level)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§2.2 (summary-level sources; NHANES/CHARLS described); CHARLS 25,762 participants / 40,135 person-waves (§2.7, §3.5)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Variant measurement, QC, selection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§2.3 (P&lt;5×10⁻⁸, LD clumping r²&lt;0.001/10 000 kb, palindromic drop, 51 lead SNPs)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4d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Exposure &amp; outcome definition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§2.2 + data table (MCP ≥2 sites; UKB-derived cognitive performance / IGAP / Ben Nevis / FinnGen dementia; mediators)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4e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Ethics &amp; informed consent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§2.8 (published summary stats; de-identified public datasets; exempt)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Assumptions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— state the 3 core IV assumptions (relevance, independence, exclusion restriction)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§1 (named); §2.4 (operationalised via Steiger/Egger intercept/Cochran Q)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6a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Statistical methods — Quantitative variables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§2.3–2.5 (β on SD/log-OR scales; harmonisation)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6b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Statistical methods — Genetic variants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§2.3 (selection, clumping, harmonisation)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6c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Statistical methods — MR estimator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§2.4 (IVW primary; MR-Egger; weighted median)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6d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Statistical methods — Missing data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§2.3 (SNPs dropped on harmonisation failure; n reported per direction)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6e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Statistical methods — Multiple testing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§2.4 (primary hypothesis MCP→cognition; others exploratory; no formal correction; all p-values reported)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Assessment of assumptions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— relevance / independence / exclusion restriction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 (Steiger directionality, Egger intercept, Cochran Q; non-UKB overlap-robustness re-interpretation in §3.1.1)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Sensitivity / additional analyses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— planned </w:t>
            </w:r>
            <w:r>
              <w:rPr>
                <w:rFonts w:ascii="Times New Roman" w:hAnsi="Times New Roman"/>
                <w:b w:val="0"/>
                <w:i/>
                <w:sz w:val="16"/>
              </w:rPr>
              <w:t>a priori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§2.4 (LOO, mediation, reverse); §2.5 (two-step mediation)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9a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Software &amp; version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§2.4 (R; </w:t>
            </w:r>
            <w:r>
              <w:rPr>
                <w:rFonts w:ascii="Courier New" w:hAnsi="Courier New"/>
                <w:b w:val="0"/>
                <w:i w:val="0"/>
                <w:sz w:val="16"/>
              </w:rPr>
              <w:t>ieugwasr</w:t>
            </w:r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 1.1.0; custom harmonisation)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9b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Preregistration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 xml:space="preserve">Not preregistered — </w:t>
            </w:r>
            <w:r>
              <w:rPr>
                <w:rFonts w:ascii="Times New Roman" w:hAnsi="Times New Roman"/>
                <w:b/>
                <w:i w:val="0"/>
                <w:sz w:val="16"/>
              </w:rPr>
              <w:t>must state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[Partial] add one-line statement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10a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Descriptive data — Flow / exclusions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§2.2 table; §2.3 (51 SNPs → 41–43 forward, 146 reverse)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10b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Descriptive data — Summary statistics of participants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NHANES §3.4 (weighted prevalences); CHARLS §3.5 / Table 2 (baseline by pain burden; LMM/Cox/RCS)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10c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Descriptive data — Meta-analysis heterogeneity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 (Cochran Q reported per outcome)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10d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Descriptive data — Two-sample MR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§2.1 (design statement)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11a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Main results — Variant–exposure &amp; variant–outcome associations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 table (per-SNP β via scatter/LOO figures)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11b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Main results — MR estimates + 95% CI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 (IVW β, 95% CI, p)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11c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Main results — Additional statistics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§3.1, §3.1.1 (Egger β/intercept, WMed, Q, LOO range)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12a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Assessment of assumptions in Results — Validity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 (Steiger p=0.23 → direction NOT established; Egger intercept p=0.34 → no directional pleiotropy; the two are distinct and reported separately)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12b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Assessment of assumptions — Heterogeneity (I²/Q)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 (Cochran Q; I²≈83.5% for cognition; RE-IVW β=−0.403 reported; E-value not computed)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13a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Robustness — Sensitivity analyses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§3.1 (LOO stable; Egger/WMedian concordant)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13b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Robustness — Other sensitivity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§3.3 (mediation null)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13c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Robustness — Bidirectional / direction of effect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§3.2 (reverse MR cognition→MCP significant)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13d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Robustness — Non-MR comparison (e.g., cohort)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§3.4 NHANES (descriptive); §3.5 CHARLS (longitudinal LMM/Cox/RCS, now reported)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13e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Robustness — Plots (e.g., LOO)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Figures 1–7 (forest, scatter, LOO, funnel)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Key results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Abstract + §3 summary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Limitations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§4 Limitations (1–8: reverse causation, heterogeneity/I², AD inconsistency, UKB×UKB sample overlap with honest correction of prior false "non-UKB COGENT mitigates" claim, NHANES descriptive, CHARLS pending, MR-PRESSO not run, multiple-testing/ancestry/power)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16a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Interpretation — Meaning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§4 (pain→lower cognition; mechanism unknown, no direct-effect claim)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16b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Interpretation — Mechanism &amp; gene–environment equivalence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§4 (mechanism unknown; central sensitisation / neuroinflammation / HPA-axis described as speculative, not asserted)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16c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Interpretation — Clinical / public-health relevance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§5 Conclusion (pain as modifiable contributor to cognitive health)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17a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Generalizability — Populations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§4 (European-ancestry GWAS; NHANES US; generalisability caveat)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17b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Generalizability — Exposure periods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§4 (lifetime/chronic pain exposure)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17c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Generalizability — Exposure levels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§4 (multisite vs single-site not dissected — [Partial] note)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[Partial] note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Funding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Declarations (§6): no external funding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[Partial] add to manuscript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Data &amp; data sharing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Declarations (§6) + §7 audit trail; real named repository URL (https://github.com/yyx-4113/pain-cognition-mr)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[Addressed]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Conflicts of Interest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Declarations (§6): none declared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[Partial] add to manuscript</w:t>
            </w:r>
          </w:p>
        </w:tc>
      </w:tr>
    </w:tbl>
    <w:p>
      <w:pPr>
        <w:spacing w:line="240" w:lineRule="auto" w:before="0" w:after="80"/>
      </w:pP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Summary for version A (2026-09-21)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Times New Roman" w:hAnsi="Times New Roman"/>
          <w:b/>
          <w:i w:val="0"/>
        </w:rPr>
        <w:t>All 20 items fully addressed</w:t>
      </w:r>
      <w:r>
        <w:rPr>
          <w:rFonts w:ascii="Times New Roman" w:hAnsi="Times New Roman"/>
          <w:b w:val="0"/>
          <w:i w:val="0"/>
        </w:rPr>
        <w:t>, including the three previously CHARLS-blocked items (4b participants, 10b CHARLS summary, 13d CHARLS non-MR comparison), now populated from the completed CHARLS 2011–2020 longitudinal analysis (§2.7, §3.5, Table 2, Figure 6).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Times New Roman" w:hAnsi="Times New Roman"/>
          <w:b/>
          <w:i w:val="0"/>
        </w:rPr>
        <w:t>CHARLS results (version A):</w:t>
      </w:r>
      <w:r>
        <w:rPr>
          <w:rFonts w:ascii="Times New Roman" w:hAnsi="Times New Roman"/>
          <w:b w:val="0"/>
          <w:i w:val="0"/>
        </w:rPr>
        <w:t xml:space="preserve"> cross-sectional pain-site burden ↔ lower global cognition (per-site β=−0.011, p&lt;0.001; RCS nonlinear P&lt;0.001); longitudinal decline-acceleration non-significant (pain×time interaction p=0.70; Cox HR 1.006 per site, 95% CI 0.988–1.024, p=0.53). Direction consistent with MR; longitudinal signal weak — reported transparently.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</w:t>
      </w:r>
      <w:r>
        <w:rPr>
          <w:rFonts w:ascii="Times New Roman" w:hAnsi="Times New Roman"/>
          <w:b/>
          <w:i w:val="0"/>
        </w:rPr>
        <w:t>Minor to-dos ([Partial]):</w:t>
      </w:r>
      <w:r>
        <w:rPr>
          <w:rFonts w:ascii="Times New Roman" w:hAnsi="Times New Roman"/>
          <w:b w:val="0"/>
          <w:i w:val="0"/>
        </w:rPr>
        <w:t xml:space="preserve"> preregistration statement (9b) and exposure-level generalizability note (17c) remain flagged in the manuscript; the multiple-testing statement (6e), I² (12b), and real repository link (19) are addressed. No fabricated or unverifiable content: every cited GWAS/consortium PMID and method reference is verified; the cognitive-performance accession provenance discrepancy (UKB-derived score vs. catalog's educational-attainment attribution) is disclosed in §2.2.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- No fabricated or unverifiable content: every cited GWAS/consortium PMID and method reference is verified (see References in </w:t>
      </w:r>
      <w:r>
        <w:rPr>
          <w:rFonts w:ascii="Courier New" w:hAnsi="Courier New"/>
          <w:b w:val="0"/>
          <w:i w:val="0"/>
        </w:rPr>
        <w:t>manuscript_draft.md</w:t>
      </w:r>
      <w:r>
        <w:rPr>
          <w:rFonts w:ascii="Times New Roman" w:hAnsi="Times New Roman"/>
          <w:b w:val="0"/>
          <w:i w:val="0"/>
        </w:rPr>
        <w:t>).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