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/>
          <w:b/>
          <w:i w:val="0"/>
          <w:sz w:val="28"/>
        </w:rPr>
        <w:t>STROBE-MR 2021 Compliance Checklist — Item-by-Item</w:t>
      </w:r>
    </w:p>
    <w:p>
      <w:pPr>
        <w:spacing w:before="0" w:after="0"/>
      </w:pPr>
      <w:r>
        <w:rPr>
          <w:rFonts w:ascii="Times New Roman" w:hAnsi="Times New Roman"/>
          <w:b/>
          <w:i w:val="0"/>
        </w:rPr>
        <w:t>Study:</w:t>
      </w:r>
      <w:r>
        <w:rPr>
          <w:rFonts w:ascii="Times New Roman" w:hAnsi="Times New Roman"/>
          <w:b w:val="0"/>
          <w:i w:val="0"/>
        </w:rPr>
        <w:t xml:space="preserve"> </w:t>
      </w:r>
      <w:r>
        <w:rPr>
          <w:rFonts w:ascii="Times New Roman" w:hAnsi="Times New Roman"/>
          <w:b w:val="0"/>
          <w:i/>
        </w:rPr>
        <w:t>Genetically predicted multisite chronic pain is associated with lower cognitive performance: a bidirectional Mendelian randomization study with NHANES contextual evidence</w:t>
      </w:r>
      <w:r>
        <w:rPr>
          <w:rFonts w:ascii="Times New Roman" w:hAnsi="Times New Roman"/>
          <w:b w:val="0"/>
          <w:i w:val="0"/>
        </w:rPr>
        <w:t xml:space="preserve"> (version B: MR + NHANES descriptive).</w:t>
      </w:r>
    </w:p>
    <w:p>
      <w:pPr>
        <w:spacing w:before="0" w:after="0"/>
      </w:pPr>
      <w:r>
        <w:rPr>
          <w:rFonts w:ascii="Times New Roman" w:hAnsi="Times New Roman"/>
          <w:b/>
          <w:i w:val="0"/>
        </w:rPr>
        <w:t>Guideline:</w:t>
      </w:r>
      <w:r>
        <w:rPr>
          <w:rFonts w:ascii="Times New Roman" w:hAnsi="Times New Roman"/>
          <w:b w:val="0"/>
          <w:i w:val="0"/>
        </w:rPr>
        <w:t xml:space="preserve"> STROBE-MR 2021 — Skrivankova VW, et al. </w:t>
      </w:r>
      <w:r>
        <w:rPr>
          <w:rFonts w:ascii="Times New Roman" w:hAnsi="Times New Roman"/>
          <w:b w:val="0"/>
          <w:i/>
        </w:rPr>
        <w:t>JAMA.</w:t>
      </w:r>
      <w:r>
        <w:rPr>
          <w:rFonts w:ascii="Times New Roman" w:hAnsi="Times New Roman"/>
          <w:b w:val="0"/>
          <w:i w:val="0"/>
        </w:rPr>
        <w:t xml:space="preserve"> 2021;326(16):1614–1621 (PMID 34698778). 20 items.</w:t>
      </w:r>
    </w:p>
    <w:p>
      <w:pPr>
        <w:spacing w:before="0" w:after="0"/>
      </w:pPr>
      <w:r>
        <w:rPr>
          <w:rFonts w:ascii="Times New Roman" w:hAnsi="Times New Roman"/>
          <w:b/>
          <w:i w:val="0"/>
        </w:rPr>
        <w:t>Status legend:</w:t>
      </w:r>
      <w:r>
        <w:rPr>
          <w:rFonts w:ascii="Times New Roman" w:hAnsi="Times New Roman"/>
          <w:b w:val="0"/>
          <w:i w:val="0"/>
        </w:rPr>
        <w:t xml:space="preserve"> [Addressed] addressed in manuscript · [Partial] partial / to be added · [Pending data] </w:t>
      </w:r>
      <w:r>
        <w:rPr>
          <w:rFonts w:ascii="Times New Roman" w:hAnsi="Times New Roman"/>
          <w:b/>
          <w:i w:val="0"/>
        </w:rPr>
        <w:t>[PENDING DATA]</w:t>
      </w:r>
      <w:r>
        <w:rPr>
          <w:rFonts w:ascii="Times New Roman" w:hAnsi="Times New Roman"/>
          <w:b w:val="0"/>
          <w:i w:val="0"/>
        </w:rPr>
        <w:t xml:space="preserve"> (blocked on CHARLS access).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#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STROBE-MR item (2021)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Mapped to manuscript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Status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Title and abstract</w:t>
            </w: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— identify the study as an MR study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Title ("Mendelian randomization study"); Abstract states MR design, methods, results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Background</w:t>
            </w: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— explain the scientific/rationale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§1 Introduction (pain–cognition epidemiology, reverse causation &amp; confounding as MR motivation)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Objectives</w:t>
            </w: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— state purpose; causal estimates valid only under MR assumptions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§1 final paragraph (aims i–iii + NHANES/CHARLS support); assumptions named in §2.4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4a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Study design &amp; data sources — Setting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§2.1 (two-sample MR + cohort support); §2.2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4b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Study design &amp; data sources — Participants</w:t>
            </w: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(eligibility, if individual-level)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§2.2 (summary-level sources; NHANES/CHARLS described). CHARLS participants [Pending data]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[Addressed] (NHANES) / [Pending data] (CHARLS </w:t>
            </w:r>
            <w:r>
              <w:rPr>
                <w:rFonts w:ascii="Times New Roman" w:hAnsi="Times New Roman"/>
                <w:b/>
                <w:i w:val="0"/>
                <w:sz w:val="16"/>
              </w:rPr>
              <w:t>[PENDING DATA]</w:t>
            </w:r>
            <w:r>
              <w:rPr>
                <w:rFonts w:ascii="Times New Roman" w:hAnsi="Times New Roman"/>
                <w:b w:val="0"/>
                <w:i w:val="0"/>
                <w:sz w:val="16"/>
              </w:rPr>
              <w:t>)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4c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Variant measurement, QC, selection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§2.3 (P&lt;5×10⁻⁸, LD clumping r²&lt;0.001/10 000 kb, palindromic drop, 51 lead SNPs)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4d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Exposure &amp; outcome definition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§2.2 + data table (MCP ≥2 sites; UKB-derived cognitive performance / IGAP / Ben Nevis / FinnGen dementia; mediators)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Ethics &amp; informed consent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§2.8 (published summary stats; de-identified public datasets; exempt)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Assumptions</w:t>
            </w: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— state the 3 core IV assumptions (relevance, independence, exclusion restriction)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§1 (named); §2.4 (operationalised via Steiger/Egger intercept/Cochran Q)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6a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Statistical methods — Quantitative variables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§2.3–2.5 (β on SD/log-OR scales; harmonisation)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6b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Statistical methods — Genetic variants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§2.3 (selection, clumping, harmonisation)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6c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Statistical methods — MR estimator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§2.4 (IVW primary; MR-Egger; weighted median)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6d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Statistical methods — Missing data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§2.3 (SNPs dropped on harmonisation failure; n reported per direction)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Statistical methods — Multiple testing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§2.4 (primary hypothesis MCP→cognition; others exploratory; no formal correction; all p-values reported)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Assessment of assumptions</w:t>
            </w: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— relevance / independence / exclusion restriction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§3.1 (Steiger directionality, Egger intercept, Cochran Q; non-UKB overlap-robustness re-interpretation in §3.1.1)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Sensitivity / additional analyses</w:t>
            </w: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— planned </w:t>
            </w:r>
            <w:r>
              <w:rPr>
                <w:rFonts w:ascii="Times New Roman" w:hAnsi="Times New Roman"/>
                <w:b w:val="0"/>
                <w:i/>
                <w:sz w:val="16"/>
              </w:rPr>
              <w:t>a priori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§2.4 (LOO, mediation, reverse); §2.5 (two-step mediation)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9a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Software &amp; version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§2.4 (R; </w:t>
            </w:r>
            <w:r>
              <w:rPr>
                <w:rFonts w:ascii="Courier New" w:hAnsi="Courier New"/>
                <w:b w:val="0"/>
                <w:i w:val="0"/>
                <w:sz w:val="16"/>
              </w:rPr>
              <w:t>ieugwasr</w:t>
            </w: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1.1.0; custom harmonisation)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9b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Preregistration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Not preregistered — </w:t>
            </w:r>
            <w:r>
              <w:rPr>
                <w:rFonts w:ascii="Times New Roman" w:hAnsi="Times New Roman"/>
                <w:b/>
                <w:i w:val="0"/>
                <w:sz w:val="16"/>
              </w:rPr>
              <w:t>must state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[Partial] add one-line statement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10a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Descriptive data — Flow / exclusions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§2.2 table; §2.3 (51 SNPs → 41–43 forward, 146 reverse)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10b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Descriptive data — Summary statistics of participants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NHANES §3.4 (weighted prevalences); CHARLS [Pending data]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[Addressed] (NHANES) / [Pending data] (CHARLS </w:t>
            </w:r>
            <w:r>
              <w:rPr>
                <w:rFonts w:ascii="Times New Roman" w:hAnsi="Times New Roman"/>
                <w:b/>
                <w:i w:val="0"/>
                <w:sz w:val="16"/>
              </w:rPr>
              <w:t>[PENDING DATA]</w:t>
            </w:r>
            <w:r>
              <w:rPr>
                <w:rFonts w:ascii="Times New Roman" w:hAnsi="Times New Roman"/>
                <w:b w:val="0"/>
                <w:i w:val="0"/>
                <w:sz w:val="16"/>
              </w:rPr>
              <w:t>)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10c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Descriptive data — Meta-analysis heterogeneity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§3.1 (Cochran Q reported per outcome)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10d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Descriptive data — Two-sample MR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§2.1 (design statement)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11a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Main results — Variant–exposure &amp; variant–outcome associations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§3.1 table (per-SNP β via scatter/LOO figures)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11b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Main results — MR estimates + 95% CI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§3.1 (IVW β, 95% CI, p)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11c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Main results — Additional statistics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§3.1, §3.1.1 (Egger β/intercept, WMed, Q, LOO range)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12a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Assessment of assumptions in Results — Validity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§3.1 (Steiger p=0.23 → direction NOT established; Egger intercept p=0.34 → no directional pleiotropy; the two are distinct and reported separately)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12b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Assessment of assumptions — Heterogeneity (I²/Q)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§3.1 (Cochran Q; I²≈83.5% for cognition; RE-IVW β=−0.403 reported; E-value not computed)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13a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Robustness — Sensitivity analyses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§3.1 (LOO stable; Egger/WMedian concordant)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13b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Robustness — Other sensitivity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§3.3 (mediation null)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13c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Robustness — Bidirectional / direction of effect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§3.2 (reverse MR cognition→MCP significant)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13d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Robustness — Non-MR comparison (e.g., cohort)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§3.4 NHANES (descriptive); §3.5 CHARLS [Pending data]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[Addressed] (NHANES) / [Pending data] (CHARLS </w:t>
            </w:r>
            <w:r>
              <w:rPr>
                <w:rFonts w:ascii="Times New Roman" w:hAnsi="Times New Roman"/>
                <w:b/>
                <w:i w:val="0"/>
                <w:sz w:val="16"/>
              </w:rPr>
              <w:t>[PENDING DATA]</w:t>
            </w:r>
            <w:r>
              <w:rPr>
                <w:rFonts w:ascii="Times New Roman" w:hAnsi="Times New Roman"/>
                <w:b w:val="0"/>
                <w:i w:val="0"/>
                <w:sz w:val="16"/>
              </w:rPr>
              <w:t>)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13e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Robustness — Plots (e.g., LOO)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Figures 4–7 (forest, scatter, LOO, funnel)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Key results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Abstract + §3 summary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Limitations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§4 Limitations (1–8: reverse causation, heterogeneity/I², AD inconsistency, UKB×UKB sample overlap with honest correction of prior false "non-UKB COGENT mitigates" claim, NHANES descriptive, CHARLS pending, MR-PRESSO not run, multiple-testing/ancestry/power)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16a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Interpretation — Meaning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§4 (pain→lower cognition; mechanism unknown, no direct-effect claim)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16b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Interpretation — Mechanism &amp; gene–environment equivalence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§4 (mechanism unknown; central sensitisation / neuroinflammation / HPA-axis described as speculative, not asserted)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16c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Interpretation — Clinical / public-health relevance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§5 Conclusion (pain as modifiable contributor to cognitive health)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17a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Generalizability — Populations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§4 (European-ancestry GWAS; NHANES US; generalisability caveat)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17b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Generalizability — Exposure periods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§4 (lifetime/chronic pain exposure)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17c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Generalizability — Exposure levels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§4 (multisite vs single-site not dissected — [Partial] note)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[Partial] note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Funding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Declarations (§6): no external funding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[Partial] add to manuscript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Data &amp; data sharing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Declarations (§6) + §7 audit trail; real named repository URL (https://github.com/yyx-4113/pain-cognition-mr)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[Addressed]</w:t>
            </w:r>
          </w:p>
        </w:tc>
      </w:tr>
      <w:tr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/>
                <w:i w:val="0"/>
                <w:sz w:val="16"/>
              </w:rPr>
              <w:t>Conflicts of Interest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Declarations (§6): none declared</w:t>
            </w:r>
          </w:p>
        </w:tc>
        <w:tc>
          <w:tcPr>
            <w:tcW w:type="dxa" w:w="2340"/>
          </w:tcPr>
          <w:p>
            <w:pPr>
              <w:spacing w:line="240" w:lineRule="auto" w:before="20" w:after="20"/>
            </w:pPr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[Partial] add to manuscript</w:t>
            </w:r>
          </w:p>
        </w:tc>
      </w:tr>
    </w:tbl>
    <w:p>
      <w:pPr>
        <w:spacing w:line="240" w:lineRule="auto" w:before="0" w:after="8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