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Supplementary Information</w:t>
      </w:r>
    </w:p>
    <w:p>
      <w:pPr>
        <w:spacing w:before="0" w:after="0"/>
      </w:pPr>
      <w:r>
        <w:rPr>
          <w:rFonts w:ascii="Times New Roman" w:hAnsi="Times New Roman"/>
          <w:b w:val="0"/>
          <w:i/>
        </w:rPr>
        <w:t>Yang Y. Genetically predicted multisite chronic pain is associated with lower cognitive performance: a bidirectional Mendelian randomization study with NHANES contextual evidence.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S1. Non-UKB overlap-robustness sensitivity analysis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>The primary MCP → cognitive-performance result is constrained by sample overlap between the MCP exposure (Johnston 2019, UK Biobank, n≈387,649) and the cognitive-performance outcome (ebi-a-GCST006572, UK Biobank-derived, n=257,841), both UKB-sourced. To examine whether the pain→cognitive-decline signal survives removal of this overlap, the same forward MR estimates were re-framed using two non-UKB disease outcomes that share no UKB samples with the MCP exposure: all-cause dementia (FinnGen, a Finnish national biobank) and Alzheimer's disease (IGAP 2013 consortium, ieu-a-297, n=54,162). No new instruments, harmonization, or data were introduced; only the overlap framing differs.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Methods replicate the local MR estimators in </w:t>
      </w:r>
      <w:r>
        <w:rPr>
          <w:rFonts w:ascii="Courier New" w:hAnsi="Courier New"/>
          <w:b w:val="0"/>
          <w:i w:val="0"/>
        </w:rPr>
        <w:t>analysis/_recompute_local.R</w:t>
      </w:r>
      <w:r>
        <w:rPr>
          <w:rFonts w:ascii="Times New Roman" w:hAnsi="Times New Roman"/>
          <w:b w:val="0"/>
          <w:i w:val="0"/>
        </w:rPr>
        <w:t xml:space="preserve"> (weights w = 1/se_y²; IVW fixed- and random-effects; MR-Egger with intercept test for directional pleiotropy; weighted median via the delta method with exposure and outcome SEs; leave-one-out). Mean per-SNP F-statistic across the 41-43 harmonised SNPs was ≈33 (minimum ≈22), far above the weak-instrument threshold of 10.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Exposure → outcome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Source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UKB overlap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n SNP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IVW β (95% CI)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Egger β (int p)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WMed β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I²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Direction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MCP → cognitive performance*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ebi-a-GCST006572 (UKB)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−0.361 (−0.424, −0.299)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3.65×10⁻³⁰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−0.362 (0.34)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−0.233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83.5%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Lower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MCP → all-cause dementia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FinnGen F5 (Finland)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0.234 (−0.185, 0.653)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0.27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0.209 (0.21)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0.220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0%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Risk ↑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MCP → Alzheimer's disease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IGAP ieu-a-297 (non-UKB)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No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0.466 (0.123, 0.809)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0.008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0.462 (0.86)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0.227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16%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Risk ↑</w:t>
            </w:r>
          </w:p>
        </w:tc>
      </w:tr>
    </w:tbl>
    <w:p>
      <w:pPr>
        <w:spacing w:line="240" w:lineRule="auto" w:before="0" w:after="80"/>
      </w:pP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>*Cognitive-performance row: IVW β=−0.361 is the fixed-effect estimate (the headline value in the main manuscript); the random-effects IVW estimate is β=−0.403 (95% CI −0.550 to −0.257), p=3.65×10⁻³⁰.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Interpretation. All three outcomes point in the same direction (more multisite chronic pain → worse cognitive performance / higher dementia and AD risk). The IGAP AD estimate is significant (β=0.466, p=0.008) with no directional pleiotropy (Egger intercept p=0.86), low heterogeneity (I²≈16%), and stable leave-one-out estimates — a genuinely overlap-free corroboration. FinnGen all-cause dementia is non-significant (β=0.234, p=0.27), most plausibly reflecting the lower power of a binary trait with a smaller effective case sample rather than a true null. Note these non-UKB endpoints measure dementia/AD </w:t>
      </w:r>
      <w:r>
        <w:rPr>
          <w:rFonts w:ascii="Times New Roman" w:hAnsi="Times New Roman"/>
          <w:b w:val="0"/>
          <w:i/>
        </w:rPr>
        <w:t>risk</w:t>
      </w:r>
      <w:r>
        <w:rPr>
          <w:rFonts w:ascii="Times New Roman" w:hAnsi="Times New Roman"/>
          <w:b w:val="0"/>
          <w:i w:val="0"/>
        </w:rPr>
        <w:t xml:space="preserve">, not the cognitive-performance </w:t>
      </w:r>
      <w:r>
        <w:rPr>
          <w:rFonts w:ascii="Times New Roman" w:hAnsi="Times New Roman"/>
          <w:b w:val="0"/>
          <w:i/>
        </w:rPr>
        <w:t>score</w:t>
      </w:r>
      <w:r>
        <w:rPr>
          <w:rFonts w:ascii="Times New Roman" w:hAnsi="Times New Roman"/>
          <w:b w:val="0"/>
          <w:i w:val="0"/>
        </w:rPr>
        <w:t xml:space="preserve"> itself; direct overlap-free confirmation at the cognitive-score level awaits a suitably powered non-UKB cognitive GWAS (e.g., COGENT) and overlap-corrected methods (MRlap).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S2. Audit trail of derived artifacts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Every numerical result in the manuscript traces to a derived file under </w:t>
      </w:r>
      <w:r>
        <w:rPr>
          <w:rFonts w:ascii="Courier New" w:hAnsi="Courier New"/>
          <w:b w:val="0"/>
          <w:i w:val="0"/>
        </w:rPr>
        <w:t>data/derived/</w:t>
      </w:r>
      <w:r>
        <w:rPr>
          <w:rFonts w:ascii="Times New Roman" w:hAnsi="Times New Roman"/>
          <w:b w:val="0"/>
          <w:i w:val="0"/>
        </w:rPr>
        <w:t>: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- </w:t>
      </w:r>
      <w:r>
        <w:rPr>
          <w:rFonts w:ascii="Courier New" w:hAnsi="Courier New"/>
          <w:b w:val="0"/>
          <w:i w:val="0"/>
        </w:rPr>
        <w:t>mr_forward_results_corrected.csv</w:t>
      </w:r>
      <w:r>
        <w:rPr>
          <w:rFonts w:ascii="Times New Roman" w:hAnsi="Times New Roman"/>
          <w:b w:val="0"/>
          <w:i w:val="0"/>
        </w:rPr>
        <w:t xml:space="preserve"> — forward MR (MCP → cognition / dementia / AD), corrected estimators.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- </w:t>
      </w:r>
      <w:r>
        <w:rPr>
          <w:rFonts w:ascii="Courier New" w:hAnsi="Courier New"/>
          <w:b w:val="0"/>
          <w:i w:val="0"/>
        </w:rPr>
        <w:t>mr_ad_reverse_results.csv</w:t>
      </w:r>
      <w:r>
        <w:rPr>
          <w:rFonts w:ascii="Times New Roman" w:hAnsi="Times New Roman"/>
          <w:b w:val="0"/>
          <w:i w:val="0"/>
        </w:rPr>
        <w:t xml:space="preserve"> — reverse MR (cognition → MCP).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- </w:t>
      </w:r>
      <w:r>
        <w:rPr>
          <w:rFonts w:ascii="Courier New" w:hAnsi="Courier New"/>
          <w:b w:val="0"/>
          <w:i w:val="0"/>
        </w:rPr>
        <w:t>mr_mediation_results.csv</w:t>
      </w:r>
      <w:r>
        <w:rPr>
          <w:rFonts w:ascii="Times New Roman" w:hAnsi="Times New Roman"/>
          <w:b w:val="0"/>
          <w:i w:val="0"/>
        </w:rPr>
        <w:t xml:space="preserve"> — two-step mediation MR (depression / CRP / insomnia).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- </w:t>
      </w:r>
      <w:r>
        <w:rPr>
          <w:rFonts w:ascii="Courier New" w:hAnsi="Courier New"/>
          <w:b w:val="0"/>
          <w:i w:val="0"/>
        </w:rPr>
        <w:t>mr_master_results.csv</w:t>
      </w:r>
      <w:r>
        <w:rPr>
          <w:rFonts w:ascii="Times New Roman" w:hAnsi="Times New Roman"/>
          <w:b w:val="0"/>
          <w:i w:val="0"/>
        </w:rPr>
        <w:t xml:space="preserve"> — master results table.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- </w:t>
      </w:r>
      <w:r>
        <w:rPr>
          <w:rFonts w:ascii="Courier New" w:hAnsi="Courier New"/>
          <w:b w:val="0"/>
          <w:i w:val="0"/>
        </w:rPr>
        <w:t>mr_harmonized_cog.csv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</w:rPr>
        <w:t>mr_harmonized_dementia.csv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</w:rPr>
        <w:t>mr_harmonized_ad_igap2.csv</w:t>
      </w:r>
      <w:r>
        <w:rPr>
          <w:rFonts w:ascii="Times New Roman" w:hAnsi="Times New Roman"/>
          <w:b w:val="0"/>
          <w:i w:val="0"/>
        </w:rPr>
        <w:t xml:space="preserve"> — harmonised exposure/outcome pairs.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- </w:t>
      </w:r>
      <w:r>
        <w:rPr>
          <w:rFonts w:ascii="Courier New" w:hAnsi="Courier New"/>
          <w:b w:val="0"/>
          <w:i w:val="0"/>
        </w:rPr>
        <w:t>mr_gwas_metadata_20260920.csv</w:t>
      </w:r>
      <w:r>
        <w:rPr>
          <w:rFonts w:ascii="Times New Roman" w:hAnsi="Times New Roman"/>
          <w:b w:val="0"/>
          <w:i w:val="0"/>
        </w:rPr>
        <w:t xml:space="preserve"> — GWAS metadata (IDs, n, consortium, PMID).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- </w:t>
      </w:r>
      <w:r>
        <w:rPr>
          <w:rFonts w:ascii="Courier New" w:hAnsi="Courier New"/>
          <w:b w:val="0"/>
          <w:i w:val="0"/>
        </w:rPr>
        <w:t>mr_nonukb_sensitivity_results.csv</w:t>
      </w:r>
      <w:r>
        <w:rPr>
          <w:rFonts w:ascii="Times New Roman" w:hAnsi="Times New Roman"/>
          <w:b w:val="0"/>
          <w:i w:val="0"/>
        </w:rPr>
        <w:t xml:space="preserve"> — non-UKB overlap-robustness sensitivity (Section S1).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- </w:t>
      </w:r>
      <w:r>
        <w:rPr>
          <w:rFonts w:ascii="Courier New" w:hAnsi="Courier New"/>
          <w:b w:val="0"/>
          <w:i w:val="0"/>
        </w:rPr>
        <w:t>nhanes_results_20260920.rds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</w:rPr>
        <w:t>data/raw/nhanes_clean.rds</w:t>
      </w:r>
      <w:r>
        <w:rPr>
          <w:rFonts w:ascii="Times New Roman" w:hAnsi="Times New Roman"/>
          <w:b w:val="0"/>
          <w:i w:val="0"/>
        </w:rPr>
        <w:t xml:space="preserve"> — NHANES descriptive analysis.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Figures were generated reproducibly by </w:t>
      </w:r>
      <w:r>
        <w:rPr>
          <w:rFonts w:ascii="Courier New" w:hAnsi="Courier New"/>
          <w:b w:val="0"/>
          <w:i w:val="0"/>
        </w:rPr>
        <w:t>analysis/make_figures.py</w:t>
      </w:r>
      <w:r>
        <w:rPr>
          <w:rFonts w:ascii="Times New Roman" w:hAnsi="Times New Roman"/>
          <w:b w:val="0"/>
          <w:i w:val="0"/>
        </w:rPr>
        <w:t xml:space="preserve"> (Fig. 1-4) and </w:t>
      </w:r>
      <w:r>
        <w:rPr>
          <w:rFonts w:ascii="Courier New" w:hAnsi="Courier New"/>
          <w:b w:val="0"/>
          <w:i w:val="0"/>
        </w:rPr>
        <w:t>analysis/make_nonukb_figure.py</w:t>
      </w:r>
      <w:r>
        <w:rPr>
          <w:rFonts w:ascii="Times New Roman" w:hAnsi="Times New Roman"/>
          <w:b w:val="0"/>
          <w:i w:val="0"/>
        </w:rPr>
        <w:t xml:space="preserve"> (Fig. 5). All GWAS and method citations were verified (journal, volume, pages, DOI, PMID); the provenance discrepancy of ebi-a-GCST006572 (UKB-derived cognitive-performance score vs. the GWAS-Catalog's educational-attainment attribution) is disclosed in the Methods.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