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0" w:after="120"/>
      </w:pPr>
      <w:r>
        <w:rPr>
          <w:rFonts w:ascii="Times New Roman" w:hAnsi="Times New Roman"/>
          <w:b/>
          <w:i w:val="0"/>
          <w:sz w:val="28"/>
        </w:rPr>
        <w:t>Genetically predicted multisite chronic pain is associated with lower cognitive performance: a bidirectional Mendelian randomization study with NHANES contextual evidence</w:t>
      </w:r>
    </w:p>
    <w:p>
      <w:pPr>
        <w:spacing w:before="0" w:after="0"/>
      </w:pPr>
      <w:r>
        <w:rPr>
          <w:rFonts w:ascii="Times New Roman" w:hAnsi="Times New Roman"/>
          <w:b/>
          <w:i w:val="0"/>
        </w:rPr>
        <w:t>Yongxin Yang</w:t>
      </w:r>
    </w:p>
    <w:p>
      <w:pPr>
        <w:spacing w:before="0" w:after="0"/>
      </w:pPr>
      <w:r>
        <w:rPr>
          <w:rFonts w:ascii="Times New Roman" w:hAnsi="Times New Roman"/>
          <w:b w:val="0"/>
          <w:i w:val="0"/>
        </w:rPr>
        <w:t>The Second Affiliated Hospital of Fujian University of Traditional Chinese Medicine, Fuzhou, Fujian 350003, China. ORCID: 0009-0004-9698-6552.</w:t>
      </w:r>
    </w:p>
    <w:p>
      <w:pPr>
        <w:spacing w:before="160" w:after="80"/>
      </w:pPr>
      <w:r>
        <w:rPr>
          <w:rFonts w:ascii="Times New Roman" w:hAnsi="Times New Roman"/>
          <w:b/>
          <w:i w:val="0"/>
          <w:sz w:val="24"/>
        </w:rPr>
        <w:t>Abstract</w:t>
      </w:r>
    </w:p>
    <w:p>
      <w:pPr>
        <w:spacing w:before="0" w:after="0"/>
      </w:pPr>
      <w:r>
        <w:rPr>
          <w:rFonts w:ascii="Times New Roman" w:hAnsi="Times New Roman"/>
          <w:b w:val="0"/>
          <w:i w:val="0"/>
        </w:rPr>
        <w:t>Chronic pain and cognitive impairment are rising ageing-related burdens. Observational links between multisite chronic pain (MCP) and cognitive decline are confounded by reverse causation and comorbidity. We used bidirectional two-sample MR to assess the association of genetically predicted MCP with cognitive outcomes. MCP instruments (51 SNPs; P&lt;5×10⁻⁸) came from a UK Biobank GWAS (n=387,649). Outcomes were cognitive performance (UKB-derived, n=257,841), Alzheimer’s disease (IGAP ieu-a-297, n=54,162) and all-cause dementia (FinnGen, n=216,771). Genetically predicted MCP was associated with lower cognitive performance (IVW β=−0.361, 95% CI −0.424 to −0.299, p=3.65×10⁻³⁰) with high heterogeneity (I²≈83.5%) and no directional pleiotropy. The Steiger test was non-significant (p=0.23) and reverse MR significant (β=−0.171, p=8.85×10⁻⁵⁸), so direction is uncertain. A non-UKB overlap-robustness re-interpretation (IGAP AD: β=0.466, p=0.008) corroborated the association independently of UK Biobank sample overlap. No mediator was significant. Genetic evidence is compatible with an MCP–lower-cognition association, but the direction is unresolved and the cognitive result is limited by UKB sample overlap.</w:t>
      </w:r>
    </w:p>
    <w:p>
      <w:pPr>
        <w:jc w:val="center"/>
      </w:pPr>
      <w:r>
        <w:rPr>
          <w:b/>
          <w:sz w:val="22"/>
        </w:rPr>
        <w:t>PREPRINT · VERSION 1 · NOT PEER-REVIEWED</w:t>
      </w:r>
    </w:p>
    <w:p>
      <w:pPr>
        <w:jc w:val="center"/>
      </w:pPr>
      <w:r>
        <w:rPr>
          <w:i/>
        </w:rPr>
        <w:t>Posted on Research Square — a DOI will be assigned on posting.</w:t>
      </w:r>
    </w:p>
    <w:p>
      <w:pPr>
        <w:spacing w:before="120"/>
      </w:pPr>
      <w:r>
        <w:rPr>
          <w:rFonts w:ascii="Times New Roman" w:hAnsi="Times New Roman"/>
          <w:b w:val="0"/>
          <w:i w:val="0"/>
        </w:rPr>
        <w:t>Preprint note. This is a preprint of a manuscript that has not undergone peer review; it is posted to solicit feedback. The China Health and Retirement Longitudinal Study (CHARLS) longitudinal validation component is ongoing and is marked [PENDING DATA] throughout: those sections describe planned analyses, not results. A revised version (version 2) will be posted when CHARLS data access is granted and incorporated, after which the manuscript will be submitted to a peer-reviewed journal (Scientific Reports, Nature Portfolio).</w:t>
      </w:r>
    </w:p>
    <w:p>
      <w:r>
        <w:br w:type="page"/>
      </w:r>
    </w:p>
    <w:p>
      <w:pPr>
        <w:spacing w:before="160" w:after="80"/>
      </w:pPr>
      <w:r>
        <w:rPr>
          <w:rFonts w:ascii="Times New Roman" w:hAnsi="Times New Roman"/>
          <w:b/>
          <w:i w:val="0"/>
          <w:sz w:val="24"/>
        </w:rPr>
        <w:t>1. Introduction</w:t>
      </w:r>
    </w:p>
    <w:p>
      <w:pPr>
        <w:spacing w:before="0" w:after="0"/>
      </w:pPr>
      <w:r>
        <w:rPr>
          <w:rFonts w:ascii="Times New Roman" w:hAnsi="Times New Roman"/>
          <w:b w:val="0"/>
          <w:i w:val="0"/>
        </w:rPr>
        <w:t>Chronic pain affects a substantial proportion of middle-aged and older adults and is increasingly recognised as more than a sensory symptom — it is associated with accelerated cognitive ageing, incident dementia, and reduced reserve [refs]. Multisite chronic pain (MCP), defined by pain at multiple body sites, carries a particularly high burden and has been linked cross-sectionally to poorer cognition [refs].</w:t>
      </w:r>
    </w:p>
    <w:p>
      <w:pPr>
        <w:spacing w:before="0" w:after="0"/>
      </w:pPr>
      <w:r>
        <w:rPr>
          <w:rFonts w:ascii="Times New Roman" w:hAnsi="Times New Roman"/>
          <w:b w:val="0"/>
          <w:i w:val="0"/>
        </w:rPr>
        <w:t xml:space="preserve">Two obstacles limit causal inference from observational cohorts. First, </w:t>
      </w:r>
      <w:r>
        <w:rPr>
          <w:rFonts w:ascii="Times New Roman" w:hAnsi="Times New Roman"/>
          <w:b/>
          <w:i w:val="0"/>
        </w:rPr>
        <w:t>reverse causation</w:t>
      </w:r>
      <w:r>
        <w:rPr>
          <w:rFonts w:ascii="Times New Roman" w:hAnsi="Times New Roman"/>
          <w:b w:val="0"/>
          <w:i w:val="0"/>
        </w:rPr>
        <w:t xml:space="preserve">: poorer cognition may increase pain reporting and reduce pain coping. Second, </w:t>
      </w:r>
      <w:r>
        <w:rPr>
          <w:rFonts w:ascii="Times New Roman" w:hAnsi="Times New Roman"/>
          <w:b/>
          <w:i w:val="0"/>
        </w:rPr>
        <w:t>confounding</w:t>
      </w:r>
      <w:r>
        <w:rPr>
          <w:rFonts w:ascii="Times New Roman" w:hAnsi="Times New Roman"/>
          <w:b w:val="0"/>
          <w:i w:val="0"/>
        </w:rPr>
        <w:t xml:space="preserve"> by age, depression, sleep, and disability is profound and rarely fully adjusted. Mendelian randomization (MR) mitigates these by using genetic variants as instruments for pain, under the assumptions of relevance, exchangeability, and exclusion-restriction.</w:t>
      </w:r>
    </w:p>
    <w:p>
      <w:pPr>
        <w:spacing w:before="0" w:after="0"/>
      </w:pPr>
      <w:r>
        <w:rPr>
          <w:rFonts w:ascii="Times New Roman" w:hAnsi="Times New Roman"/>
          <w:b w:val="0"/>
          <w:i w:val="0"/>
        </w:rPr>
        <w:t>We therefore conducted a bidirectional two-sample MR to (i) estimate the effect of genetically predicted MCP on cognitive performance, Alzheimer's disease (AD), and all-cause dementia; (ii) test the reverse direction; (iii) probe mediators (depression, C-reactive protein [CRP], insomnia) via two-step MR. To embed the genetic findings in real-world epidemiology, we additionally analysed the US NHANES for correlates of subjective memory complaint and plan a CHARLS longitudinal test of pain-site burden on cognitive decline (pending data access). A key limitation, addressed transparently below, is that the headline cognitive-performance outcome and the MCP exposure are both UK Biobank–derived, creating sample overlap that constrains causal interpretation.</w:t>
      </w:r>
    </w:p>
    <w:p>
      <w:pPr>
        <w:spacing w:before="160" w:after="80"/>
      </w:pPr>
      <w:r>
        <w:rPr>
          <w:rFonts w:ascii="Times New Roman" w:hAnsi="Times New Roman"/>
          <w:b/>
          <w:i w:val="0"/>
          <w:sz w:val="24"/>
        </w:rPr>
        <w:t>2. Methods</w:t>
      </w:r>
    </w:p>
    <w:p>
      <w:pPr>
        <w:spacing w:before="160" w:after="80"/>
      </w:pPr>
      <w:r>
        <w:rPr>
          <w:rFonts w:ascii="Times New Roman" w:hAnsi="Times New Roman"/>
          <w:b/>
          <w:i w:val="0"/>
          <w:sz w:val="24"/>
        </w:rPr>
        <w:t>2.1 Study design</w:t>
      </w:r>
    </w:p>
    <w:p>
      <w:pPr>
        <w:spacing w:before="0" w:after="0"/>
      </w:pPr>
      <w:r>
        <w:rPr>
          <w:rFonts w:ascii="Times New Roman" w:hAnsi="Times New Roman"/>
          <w:b w:val="0"/>
          <w:i w:val="0"/>
        </w:rPr>
        <w:t>This study combines a two-sample MR core with population-based descriptive context, reported per the STROBE-MR 2021 guideline [13].</w:t>
      </w:r>
    </w:p>
    <w:p>
      <w:pPr>
        <w:spacing w:before="160" w:after="80"/>
      </w:pPr>
      <w:r>
        <w:rPr>
          <w:rFonts w:ascii="Times New Roman" w:hAnsi="Times New Roman"/>
          <w:b/>
          <w:i w:val="0"/>
          <w:sz w:val="24"/>
        </w:rPr>
        <w:t>2.2 Data sources</w:t>
      </w:r>
    </w:p>
    <w:p>
      <w:pPr>
        <w:spacing w:before="0" w:after="0"/>
      </w:pPr>
      <w:r>
        <w:rPr>
          <w:rFonts w:ascii="Times New Roman" w:hAnsi="Times New Roman"/>
          <w:b/>
          <w:i w:val="0"/>
        </w:rPr>
        <w:t>Exposure — multisite chronic pain (MCP).</w:t>
      </w:r>
      <w:r>
        <w:rPr>
          <w:rFonts w:ascii="Times New Roman" w:hAnsi="Times New Roman"/>
          <w:b w:val="0"/>
          <w:i w:val="0"/>
        </w:rPr>
        <w:t xml:space="preserve"> Summary statistics from Johnston et al. (2019 [1]; UK Biobank, n=387,649, European ancestry) were obtained locally (DOI 10.5525/gla.researchdata.822). MCP was defined as pain at ≥2 (multisite) body sites.</w:t>
      </w:r>
    </w:p>
    <w:p>
      <w:pPr>
        <w:spacing w:before="0" w:after="0"/>
      </w:pPr>
      <w:r>
        <w:rPr>
          <w:rFonts w:ascii="Times New Roman" w:hAnsi="Times New Roman"/>
          <w:b/>
          <w:i w:val="0"/>
        </w:rPr>
        <w:t>Outcomes (OpenGWAS / IEU).</w:t>
      </w:r>
      <w:r>
        <w:rPr>
          <w:rFonts w:ascii="Times New Roman" w:hAnsi="Times New Roman"/>
          <w:b w:val="0"/>
          <w:i w:val="0"/>
        </w:rPr>
        <w:t xml:space="preserve"> Cognitive performance: </w:t>
      </w:r>
      <w:r>
        <w:rPr>
          <w:rFonts w:ascii="Courier New" w:hAnsi="Courier New"/>
          <w:b w:val="0"/>
          <w:i w:val="0"/>
        </w:rPr>
        <w:t>ebi-a-GCST006572</w:t>
      </w:r>
      <w:r>
        <w:rPr>
          <w:rFonts w:ascii="Times New Roman" w:hAnsi="Times New Roman"/>
          <w:b w:val="0"/>
          <w:i w:val="0"/>
        </w:rPr>
        <w:t xml:space="preserve"> — a UK Biobank–derived cognitive-performance GWAS (1-standardised score; n=257,841; European ancestry). </w:t>
      </w:r>
      <w:r>
        <w:rPr>
          <w:rFonts w:ascii="Times New Roman" w:hAnsi="Times New Roman"/>
          <w:b w:val="0"/>
          <w:i/>
        </w:rPr>
        <w:t>Provenance note:</w:t>
      </w:r>
      <w:r>
        <w:rPr>
          <w:rFonts w:ascii="Times New Roman" w:hAnsi="Times New Roman"/>
          <w:b w:val="0"/>
          <w:i w:val="0"/>
        </w:rPr>
        <w:t xml:space="preserve"> the GWAS Catalog / OpenGWAS metadata for this accession is listed under Lee et al. (Nat Genet 2018; PMID 30038396), which is an </w:t>
      </w:r>
      <w:r>
        <w:rPr>
          <w:rFonts w:ascii="Times New Roman" w:hAnsi="Times New Roman"/>
          <w:b/>
          <w:i w:val="0"/>
        </w:rPr>
        <w:t>educational-attainment</w:t>
      </w:r>
      <w:r>
        <w:rPr>
          <w:rFonts w:ascii="Times New Roman" w:hAnsi="Times New Roman"/>
          <w:b w:val="0"/>
          <w:i w:val="0"/>
        </w:rPr>
        <w:t xml:space="preserve"> GWAS; the summary-statistic set itself is a UKB-derived cognitive-performance score and is cited here by trait and accession. Because both the MCP exposure and this outcome are UKB-sourced, </w:t>
      </w:r>
      <w:r>
        <w:rPr>
          <w:rFonts w:ascii="Times New Roman" w:hAnsi="Times New Roman"/>
          <w:b/>
          <w:i w:val="0"/>
        </w:rPr>
        <w:t>sample overlap is present</w:t>
      </w:r>
      <w:r>
        <w:rPr>
          <w:rFonts w:ascii="Times New Roman" w:hAnsi="Times New Roman"/>
          <w:b w:val="0"/>
          <w:i w:val="0"/>
        </w:rPr>
        <w:t xml:space="preserve"> (see §2.4 and Limitations). Alzheimer's disease: IGAP 2013 [3] (</w:t>
      </w:r>
      <w:r>
        <w:rPr>
          <w:rFonts w:ascii="Courier New" w:hAnsi="Courier New"/>
          <w:b w:val="0"/>
          <w:i w:val="0"/>
        </w:rPr>
        <w:t>ieu-a-297</w:t>
      </w:r>
      <w:r>
        <w:rPr>
          <w:rFonts w:ascii="Times New Roman" w:hAnsi="Times New Roman"/>
          <w:b w:val="0"/>
          <w:i w:val="0"/>
        </w:rPr>
        <w:t>, n=54,162 [17,008 cases / 37,154 controls]). Ben Nevis/ADGC consortium [4] (</w:t>
      </w:r>
      <w:r>
        <w:rPr>
          <w:rFonts w:ascii="Courier New" w:hAnsi="Courier New"/>
          <w:b w:val="0"/>
          <w:i w:val="0"/>
        </w:rPr>
        <w:t>ieu-b-2</w:t>
      </w:r>
      <w:r>
        <w:rPr>
          <w:rFonts w:ascii="Times New Roman" w:hAnsi="Times New Roman"/>
          <w:b w:val="0"/>
          <w:i w:val="0"/>
        </w:rPr>
        <w:t>, n=63,926 [21,982 / 41,944]). All-cause dementia: FinnGen [5] (</w:t>
      </w:r>
      <w:r>
        <w:rPr>
          <w:rFonts w:ascii="Courier New" w:hAnsi="Courier New"/>
          <w:b w:val="0"/>
          <w:i w:val="0"/>
        </w:rPr>
        <w:t>finn-b-F5_DEMENTIA</w:t>
      </w:r>
      <w:r>
        <w:rPr>
          <w:rFonts w:ascii="Times New Roman" w:hAnsi="Times New Roman"/>
          <w:b w:val="0"/>
          <w:i w:val="0"/>
        </w:rPr>
        <w:t>, Freeze 5, n=216,771 [7,284 cases], 2021).</w:t>
      </w:r>
    </w:p>
    <w:p>
      <w:pPr>
        <w:spacing w:before="0" w:after="0"/>
      </w:pPr>
      <w:r>
        <w:rPr>
          <w:rFonts w:ascii="Times New Roman" w:hAnsi="Times New Roman"/>
          <w:b/>
          <w:i w:val="0"/>
        </w:rPr>
        <w:t>Mediators.</w:t>
      </w:r>
      <w:r>
        <w:rPr>
          <w:rFonts w:ascii="Times New Roman" w:hAnsi="Times New Roman"/>
          <w:b w:val="0"/>
          <w:i w:val="0"/>
        </w:rPr>
        <w:t xml:space="preserve"> Major depression (</w:t>
      </w:r>
      <w:r>
        <w:rPr>
          <w:rFonts w:ascii="Courier New" w:hAnsi="Courier New"/>
          <w:b w:val="0"/>
          <w:i w:val="0"/>
        </w:rPr>
        <w:t>ieu-b-102</w:t>
      </w:r>
      <w:r>
        <w:rPr>
          <w:rFonts w:ascii="Times New Roman" w:hAnsi="Times New Roman"/>
          <w:b w:val="0"/>
          <w:i w:val="0"/>
        </w:rPr>
        <w:t>, PGC, n=500,199 [6]); C-reactive protein (</w:t>
      </w:r>
      <w:r>
        <w:rPr>
          <w:rFonts w:ascii="Courier New" w:hAnsi="Courier New"/>
          <w:b w:val="0"/>
          <w:i w:val="0"/>
        </w:rPr>
        <w:t>ebi-a-GCST90029070</w:t>
      </w:r>
      <w:r>
        <w:rPr>
          <w:rFonts w:ascii="Times New Roman" w:hAnsi="Times New Roman"/>
          <w:b w:val="0"/>
          <w:i w:val="0"/>
        </w:rPr>
        <w:t>, Said 2022 [7], n=575,531); insomnia (</w:t>
      </w:r>
      <w:r>
        <w:rPr>
          <w:rFonts w:ascii="Courier New" w:hAnsi="Courier New"/>
          <w:b w:val="0"/>
          <w:i w:val="0"/>
        </w:rPr>
        <w:t>ukb-b-3957</w:t>
      </w:r>
      <w:r>
        <w:rPr>
          <w:rFonts w:ascii="Times New Roman" w:hAnsi="Times New Roman"/>
          <w:b w:val="0"/>
          <w:i w:val="0"/>
        </w:rPr>
        <w:t>, MRC-IEU, n=462,341 [8]).</w:t>
      </w:r>
    </w:p>
    <w:p>
      <w:pPr>
        <w:spacing w:before="0" w:after="0"/>
      </w:pPr>
      <w:r>
        <w:rPr>
          <w:rFonts w:ascii="Times New Roman" w:hAnsi="Times New Roman"/>
          <w:b/>
          <w:i w:val="0"/>
        </w:rPr>
        <w:t>Descriptive context.</w:t>
      </w:r>
      <w:r>
        <w:rPr>
          <w:rFonts w:ascii="Times New Roman" w:hAnsi="Times New Roman"/>
          <w:b w:val="0"/>
          <w:i w:val="0"/>
        </w:rPr>
        <w:t xml:space="preserve"> NHANES 2011–2018 (CDC) for descriptive correlates of subjective memory complaint. CHARLS 2011–2020 (Peking University) longitudinal analysis is </w:t>
      </w:r>
      <w:r>
        <w:rPr>
          <w:rFonts w:ascii="Times New Roman" w:hAnsi="Times New Roman"/>
          <w:b/>
          <w:i w:val="0"/>
        </w:rPr>
        <w:t>planned [PENDING DATA]</w:t>
      </w:r>
      <w:r>
        <w:rPr>
          <w:rFonts w:ascii="Times New Roman" w:hAnsi="Times New Roman"/>
          <w:b w:val="0"/>
          <w:i w:val="0"/>
        </w:rPr>
        <w:t>.</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rPr>
          <w:tblHeader/>
        </w:trPr>
        <w:tc>
          <w:tcPr>
            <w:tcW w:type="dxa" w:w="1560"/>
          </w:tcPr>
          <w:p>
            <w:pPr>
              <w:spacing w:line="240" w:lineRule="auto" w:before="20" w:after="20"/>
            </w:pPr>
            <w:r/>
            <w:r>
              <w:rPr>
                <w:rFonts w:ascii="Times New Roman" w:hAnsi="Times New Roman"/>
                <w:b/>
                <w:i w:val="0"/>
                <w:sz w:val="18"/>
              </w:rPr>
              <w:t>Dataset</w:t>
            </w:r>
          </w:p>
        </w:tc>
        <w:tc>
          <w:tcPr>
            <w:tcW w:type="dxa" w:w="1560"/>
          </w:tcPr>
          <w:p>
            <w:pPr>
              <w:spacing w:line="240" w:lineRule="auto" w:before="20" w:after="20"/>
            </w:pPr>
            <w:r/>
            <w:r>
              <w:rPr>
                <w:rFonts w:ascii="Times New Roman" w:hAnsi="Times New Roman"/>
                <w:b/>
                <w:i w:val="0"/>
                <w:sz w:val="18"/>
              </w:rPr>
              <w:t>ID</w:t>
            </w:r>
          </w:p>
        </w:tc>
        <w:tc>
          <w:tcPr>
            <w:tcW w:type="dxa" w:w="1560"/>
          </w:tcPr>
          <w:p>
            <w:pPr>
              <w:spacing w:line="240" w:lineRule="auto" w:before="20" w:after="20"/>
            </w:pPr>
            <w:r/>
            <w:r>
              <w:rPr>
                <w:rFonts w:ascii="Times New Roman" w:hAnsi="Times New Roman"/>
                <w:b/>
                <w:i w:val="0"/>
                <w:sz w:val="18"/>
              </w:rPr>
              <w:t>Trait</w:t>
            </w:r>
          </w:p>
        </w:tc>
        <w:tc>
          <w:tcPr>
            <w:tcW w:type="dxa" w:w="1560"/>
          </w:tcPr>
          <w:p>
            <w:pPr>
              <w:spacing w:line="240" w:lineRule="auto" w:before="20" w:after="20"/>
            </w:pPr>
            <w:r/>
            <w:r>
              <w:rPr>
                <w:rFonts w:ascii="Times New Roman" w:hAnsi="Times New Roman"/>
                <w:b/>
                <w:i w:val="0"/>
                <w:sz w:val="18"/>
              </w:rPr>
              <w:t>n</w:t>
            </w:r>
          </w:p>
        </w:tc>
        <w:tc>
          <w:tcPr>
            <w:tcW w:type="dxa" w:w="1560"/>
          </w:tcPr>
          <w:p>
            <w:pPr>
              <w:spacing w:line="240" w:lineRule="auto" w:before="20" w:after="20"/>
            </w:pPr>
            <w:r/>
            <w:r>
              <w:rPr>
                <w:rFonts w:ascii="Times New Roman" w:hAnsi="Times New Roman"/>
                <w:b/>
                <w:i w:val="0"/>
                <w:sz w:val="18"/>
              </w:rPr>
              <w:t>Cases/Controls</w:t>
            </w:r>
          </w:p>
        </w:tc>
        <w:tc>
          <w:tcPr>
            <w:tcW w:type="dxa" w:w="1560"/>
          </w:tcPr>
          <w:p>
            <w:pPr>
              <w:spacing w:line="240" w:lineRule="auto" w:before="20" w:after="20"/>
            </w:pPr>
            <w:r/>
            <w:r>
              <w:rPr>
                <w:rFonts w:ascii="Times New Roman" w:hAnsi="Times New Roman"/>
                <w:b/>
                <w:i w:val="0"/>
                <w:sz w:val="18"/>
              </w:rPr>
              <w:t>Consortium (PMID)</w:t>
            </w:r>
          </w:p>
        </w:tc>
      </w:tr>
      <w:tr>
        <w:tc>
          <w:tcPr>
            <w:tcW w:type="dxa" w:w="1560"/>
          </w:tcPr>
          <w:p>
            <w:pPr>
              <w:spacing w:line="240" w:lineRule="auto" w:before="20" w:after="20"/>
            </w:pPr>
            <w:r/>
            <w:r>
              <w:rPr>
                <w:rFonts w:ascii="Times New Roman" w:hAnsi="Times New Roman"/>
                <w:b w:val="0"/>
                <w:i w:val="0"/>
                <w:sz w:val="18"/>
              </w:rPr>
              <w:t>Exposure</w:t>
            </w:r>
          </w:p>
        </w:tc>
        <w:tc>
          <w:tcPr>
            <w:tcW w:type="dxa" w:w="1560"/>
          </w:tcPr>
          <w:p>
            <w:pPr>
              <w:spacing w:line="240" w:lineRule="auto" w:before="20" w:after="20"/>
            </w:pPr>
            <w:r/>
            <w:r>
              <w:rPr>
                <w:rFonts w:ascii="Times New Roman" w:hAnsi="Times New Roman"/>
                <w:b w:val="0"/>
                <w:i w:val="0"/>
                <w:sz w:val="18"/>
              </w:rPr>
              <w:t>local</w:t>
            </w:r>
          </w:p>
        </w:tc>
        <w:tc>
          <w:tcPr>
            <w:tcW w:type="dxa" w:w="1560"/>
          </w:tcPr>
          <w:p>
            <w:pPr>
              <w:spacing w:line="240" w:lineRule="auto" w:before="20" w:after="20"/>
            </w:pPr>
            <w:r/>
            <w:r>
              <w:rPr>
                <w:rFonts w:ascii="Times New Roman" w:hAnsi="Times New Roman"/>
                <w:b w:val="0"/>
                <w:i w:val="0"/>
                <w:sz w:val="18"/>
              </w:rPr>
              <w:t>Multisite chronic pain</w:t>
            </w:r>
          </w:p>
        </w:tc>
        <w:tc>
          <w:tcPr>
            <w:tcW w:type="dxa" w:w="1560"/>
          </w:tcPr>
          <w:p>
            <w:pPr>
              <w:spacing w:line="240" w:lineRule="auto" w:before="20" w:after="20"/>
            </w:pPr>
            <w:r/>
            <w:r>
              <w:rPr>
                <w:rFonts w:ascii="Times New Roman" w:hAnsi="Times New Roman"/>
                <w:b w:val="0"/>
                <w:i w:val="0"/>
                <w:sz w:val="18"/>
              </w:rPr>
              <w:t>387,649</w:t>
            </w:r>
          </w:p>
        </w:tc>
        <w:tc>
          <w:tcPr>
            <w:tcW w:type="dxa" w:w="1560"/>
          </w:tcPr>
          <w:p>
            <w:pPr>
              <w:spacing w:line="240" w:lineRule="auto" w:before="20" w:after="20"/>
            </w:pPr>
            <w:r/>
            <w:r>
              <w:rPr>
                <w:rFonts w:ascii="Times New Roman" w:hAnsi="Times New Roman"/>
                <w:b w:val="0"/>
                <w:i w:val="0"/>
                <w:sz w:val="18"/>
              </w:rPr>
              <w:t>—</w:t>
            </w:r>
          </w:p>
        </w:tc>
        <w:tc>
          <w:tcPr>
            <w:tcW w:type="dxa" w:w="1560"/>
          </w:tcPr>
          <w:p>
            <w:pPr>
              <w:spacing w:line="240" w:lineRule="auto" w:before="20" w:after="20"/>
            </w:pPr>
            <w:r/>
            <w:r>
              <w:rPr>
                <w:rFonts w:ascii="Times New Roman" w:hAnsi="Times New Roman"/>
                <w:b w:val="0"/>
                <w:i w:val="0"/>
                <w:sz w:val="18"/>
              </w:rPr>
              <w:t>Johnston 2019 (31194737)</w:t>
            </w:r>
          </w:p>
        </w:tc>
      </w:tr>
      <w:tr>
        <w:tc>
          <w:tcPr>
            <w:tcW w:type="dxa" w:w="1560"/>
          </w:tcPr>
          <w:p>
            <w:pPr>
              <w:spacing w:line="240" w:lineRule="auto" w:before="20" w:after="20"/>
            </w:pPr>
            <w:r/>
            <w:r>
              <w:rPr>
                <w:rFonts w:ascii="Times New Roman" w:hAnsi="Times New Roman"/>
                <w:b w:val="0"/>
                <w:i w:val="0"/>
                <w:sz w:val="18"/>
              </w:rPr>
              <w:t>Outcome</w:t>
            </w:r>
          </w:p>
        </w:tc>
        <w:tc>
          <w:tcPr>
            <w:tcW w:type="dxa" w:w="1560"/>
          </w:tcPr>
          <w:p>
            <w:pPr>
              <w:spacing w:line="240" w:lineRule="auto" w:before="20" w:after="20"/>
            </w:pPr>
            <w:r/>
            <w:r>
              <w:rPr>
                <w:rFonts w:ascii="Times New Roman" w:hAnsi="Times New Roman"/>
                <w:b w:val="0"/>
                <w:i w:val="0"/>
                <w:sz w:val="18"/>
              </w:rPr>
              <w:t>ebi-a-GCST006572</w:t>
            </w:r>
          </w:p>
        </w:tc>
        <w:tc>
          <w:tcPr>
            <w:tcW w:type="dxa" w:w="1560"/>
          </w:tcPr>
          <w:p>
            <w:pPr>
              <w:spacing w:line="240" w:lineRule="auto" w:before="20" w:after="20"/>
            </w:pPr>
            <w:r/>
            <w:r>
              <w:rPr>
                <w:rFonts w:ascii="Times New Roman" w:hAnsi="Times New Roman"/>
                <w:b w:val="0"/>
                <w:i w:val="0"/>
                <w:sz w:val="18"/>
              </w:rPr>
              <w:t>Cognitive performance (UKB-derived)</w:t>
            </w:r>
          </w:p>
        </w:tc>
        <w:tc>
          <w:tcPr>
            <w:tcW w:type="dxa" w:w="1560"/>
          </w:tcPr>
          <w:p>
            <w:pPr>
              <w:spacing w:line="240" w:lineRule="auto" w:before="20" w:after="20"/>
            </w:pPr>
            <w:r/>
            <w:r>
              <w:rPr>
                <w:rFonts w:ascii="Times New Roman" w:hAnsi="Times New Roman"/>
                <w:b w:val="0"/>
                <w:i w:val="0"/>
                <w:sz w:val="18"/>
              </w:rPr>
              <w:t>257,841</w:t>
            </w:r>
          </w:p>
        </w:tc>
        <w:tc>
          <w:tcPr>
            <w:tcW w:type="dxa" w:w="1560"/>
          </w:tcPr>
          <w:p>
            <w:pPr>
              <w:spacing w:line="240" w:lineRule="auto" w:before="20" w:after="20"/>
            </w:pPr>
            <w:r/>
            <w:r>
              <w:rPr>
                <w:rFonts w:ascii="Times New Roman" w:hAnsi="Times New Roman"/>
                <w:b w:val="0"/>
                <w:i w:val="0"/>
                <w:sz w:val="18"/>
              </w:rPr>
              <w:t>—</w:t>
            </w:r>
          </w:p>
        </w:tc>
        <w:tc>
          <w:tcPr>
            <w:tcW w:type="dxa" w:w="1560"/>
          </w:tcPr>
          <w:p>
            <w:pPr>
              <w:spacing w:line="240" w:lineRule="auto" w:before="20" w:after="20"/>
            </w:pPr>
            <w:r/>
            <w:r>
              <w:rPr>
                <w:rFonts w:ascii="Times New Roman" w:hAnsi="Times New Roman"/>
                <w:b w:val="0"/>
                <w:i w:val="0"/>
                <w:sz w:val="18"/>
              </w:rPr>
              <w:t>OpenGWAS accession¹ (see §2.2 note)</w:t>
            </w:r>
          </w:p>
        </w:tc>
      </w:tr>
      <w:tr>
        <w:tc>
          <w:tcPr>
            <w:tcW w:type="dxa" w:w="1560"/>
          </w:tcPr>
          <w:p>
            <w:pPr>
              <w:spacing w:line="240" w:lineRule="auto" w:before="20" w:after="20"/>
            </w:pPr>
            <w:r/>
            <w:r>
              <w:rPr>
                <w:rFonts w:ascii="Times New Roman" w:hAnsi="Times New Roman"/>
                <w:b w:val="0"/>
                <w:i w:val="0"/>
                <w:sz w:val="18"/>
              </w:rPr>
              <w:t>Outcome</w:t>
            </w:r>
          </w:p>
        </w:tc>
        <w:tc>
          <w:tcPr>
            <w:tcW w:type="dxa" w:w="1560"/>
          </w:tcPr>
          <w:p>
            <w:pPr>
              <w:spacing w:line="240" w:lineRule="auto" w:before="20" w:after="20"/>
            </w:pPr>
            <w:r/>
            <w:r>
              <w:rPr>
                <w:rFonts w:ascii="Times New Roman" w:hAnsi="Times New Roman"/>
                <w:b w:val="0"/>
                <w:i w:val="0"/>
                <w:sz w:val="18"/>
              </w:rPr>
              <w:t>ieu-a-297</w:t>
            </w:r>
          </w:p>
        </w:tc>
        <w:tc>
          <w:tcPr>
            <w:tcW w:type="dxa" w:w="1560"/>
          </w:tcPr>
          <w:p>
            <w:pPr>
              <w:spacing w:line="240" w:lineRule="auto" w:before="20" w:after="20"/>
            </w:pPr>
            <w:r/>
            <w:r>
              <w:rPr>
                <w:rFonts w:ascii="Times New Roman" w:hAnsi="Times New Roman"/>
                <w:b w:val="0"/>
                <w:i w:val="0"/>
                <w:sz w:val="18"/>
              </w:rPr>
              <w:t>Alzheimer's disease</w:t>
            </w:r>
          </w:p>
        </w:tc>
        <w:tc>
          <w:tcPr>
            <w:tcW w:type="dxa" w:w="1560"/>
          </w:tcPr>
          <w:p>
            <w:pPr>
              <w:spacing w:line="240" w:lineRule="auto" w:before="20" w:after="20"/>
            </w:pPr>
            <w:r/>
            <w:r>
              <w:rPr>
                <w:rFonts w:ascii="Times New Roman" w:hAnsi="Times New Roman"/>
                <w:b w:val="0"/>
                <w:i w:val="0"/>
                <w:sz w:val="18"/>
              </w:rPr>
              <w:t>54,162</w:t>
            </w:r>
          </w:p>
        </w:tc>
        <w:tc>
          <w:tcPr>
            <w:tcW w:type="dxa" w:w="1560"/>
          </w:tcPr>
          <w:p>
            <w:pPr>
              <w:spacing w:line="240" w:lineRule="auto" w:before="20" w:after="20"/>
            </w:pPr>
            <w:r/>
            <w:r>
              <w:rPr>
                <w:rFonts w:ascii="Times New Roman" w:hAnsi="Times New Roman"/>
                <w:b w:val="0"/>
                <w:i w:val="0"/>
                <w:sz w:val="18"/>
              </w:rPr>
              <w:t>17,008 / 37,154</w:t>
            </w:r>
          </w:p>
        </w:tc>
        <w:tc>
          <w:tcPr>
            <w:tcW w:type="dxa" w:w="1560"/>
          </w:tcPr>
          <w:p>
            <w:pPr>
              <w:spacing w:line="240" w:lineRule="auto" w:before="20" w:after="20"/>
            </w:pPr>
            <w:r/>
            <w:r>
              <w:rPr>
                <w:rFonts w:ascii="Times New Roman" w:hAnsi="Times New Roman"/>
                <w:b w:val="0"/>
                <w:i w:val="0"/>
                <w:sz w:val="18"/>
              </w:rPr>
              <w:t>IGAP (24162737)</w:t>
            </w:r>
          </w:p>
        </w:tc>
      </w:tr>
      <w:tr>
        <w:tc>
          <w:tcPr>
            <w:tcW w:type="dxa" w:w="1560"/>
          </w:tcPr>
          <w:p>
            <w:pPr>
              <w:spacing w:line="240" w:lineRule="auto" w:before="20" w:after="20"/>
            </w:pPr>
            <w:r/>
            <w:r>
              <w:rPr>
                <w:rFonts w:ascii="Times New Roman" w:hAnsi="Times New Roman"/>
                <w:b w:val="0"/>
                <w:i w:val="0"/>
                <w:sz w:val="18"/>
              </w:rPr>
              <w:t>Outcome</w:t>
            </w:r>
          </w:p>
        </w:tc>
        <w:tc>
          <w:tcPr>
            <w:tcW w:type="dxa" w:w="1560"/>
          </w:tcPr>
          <w:p>
            <w:pPr>
              <w:spacing w:line="240" w:lineRule="auto" w:before="20" w:after="20"/>
            </w:pPr>
            <w:r/>
            <w:r>
              <w:rPr>
                <w:rFonts w:ascii="Times New Roman" w:hAnsi="Times New Roman"/>
                <w:b w:val="0"/>
                <w:i w:val="0"/>
                <w:sz w:val="18"/>
              </w:rPr>
              <w:t>ieu-b-2</w:t>
            </w:r>
          </w:p>
        </w:tc>
        <w:tc>
          <w:tcPr>
            <w:tcW w:type="dxa" w:w="1560"/>
          </w:tcPr>
          <w:p>
            <w:pPr>
              <w:spacing w:line="240" w:lineRule="auto" w:before="20" w:after="20"/>
            </w:pPr>
            <w:r/>
            <w:r>
              <w:rPr>
                <w:rFonts w:ascii="Times New Roman" w:hAnsi="Times New Roman"/>
                <w:b w:val="0"/>
                <w:i w:val="0"/>
                <w:sz w:val="18"/>
              </w:rPr>
              <w:t>Alzheimer's disease</w:t>
            </w:r>
          </w:p>
        </w:tc>
        <w:tc>
          <w:tcPr>
            <w:tcW w:type="dxa" w:w="1560"/>
          </w:tcPr>
          <w:p>
            <w:pPr>
              <w:spacing w:line="240" w:lineRule="auto" w:before="20" w:after="20"/>
            </w:pPr>
            <w:r/>
            <w:r>
              <w:rPr>
                <w:rFonts w:ascii="Times New Roman" w:hAnsi="Times New Roman"/>
                <w:b w:val="0"/>
                <w:i w:val="0"/>
                <w:sz w:val="18"/>
              </w:rPr>
              <w:t>63,926</w:t>
            </w:r>
          </w:p>
        </w:tc>
        <w:tc>
          <w:tcPr>
            <w:tcW w:type="dxa" w:w="1560"/>
          </w:tcPr>
          <w:p>
            <w:pPr>
              <w:spacing w:line="240" w:lineRule="auto" w:before="20" w:after="20"/>
            </w:pPr>
            <w:r/>
            <w:r>
              <w:rPr>
                <w:rFonts w:ascii="Times New Roman" w:hAnsi="Times New Roman"/>
                <w:b w:val="0"/>
                <w:i w:val="0"/>
                <w:sz w:val="18"/>
              </w:rPr>
              <w:t>21,982 / 41,944</w:t>
            </w:r>
          </w:p>
        </w:tc>
        <w:tc>
          <w:tcPr>
            <w:tcW w:type="dxa" w:w="1560"/>
          </w:tcPr>
          <w:p>
            <w:pPr>
              <w:spacing w:line="240" w:lineRule="auto" w:before="20" w:after="20"/>
            </w:pPr>
            <w:r/>
            <w:r>
              <w:rPr>
                <w:rFonts w:ascii="Times New Roman" w:hAnsi="Times New Roman"/>
                <w:b w:val="0"/>
                <w:i w:val="0"/>
                <w:sz w:val="18"/>
              </w:rPr>
              <w:t>ADGC/Ben Nevis (30820047)</w:t>
            </w:r>
          </w:p>
        </w:tc>
      </w:tr>
      <w:tr>
        <w:tc>
          <w:tcPr>
            <w:tcW w:type="dxa" w:w="1560"/>
          </w:tcPr>
          <w:p>
            <w:pPr>
              <w:spacing w:line="240" w:lineRule="auto" w:before="20" w:after="20"/>
            </w:pPr>
            <w:r/>
            <w:r>
              <w:rPr>
                <w:rFonts w:ascii="Times New Roman" w:hAnsi="Times New Roman"/>
                <w:b w:val="0"/>
                <w:i w:val="0"/>
                <w:sz w:val="18"/>
              </w:rPr>
              <w:t>Outcome</w:t>
            </w:r>
          </w:p>
        </w:tc>
        <w:tc>
          <w:tcPr>
            <w:tcW w:type="dxa" w:w="1560"/>
          </w:tcPr>
          <w:p>
            <w:pPr>
              <w:spacing w:line="240" w:lineRule="auto" w:before="20" w:after="20"/>
            </w:pPr>
            <w:r/>
            <w:r>
              <w:rPr>
                <w:rFonts w:ascii="Times New Roman" w:hAnsi="Times New Roman"/>
                <w:b w:val="0"/>
                <w:i w:val="0"/>
                <w:sz w:val="18"/>
              </w:rPr>
              <w:t>finn-b-F5_DEMENTIA</w:t>
            </w:r>
          </w:p>
        </w:tc>
        <w:tc>
          <w:tcPr>
            <w:tcW w:type="dxa" w:w="1560"/>
          </w:tcPr>
          <w:p>
            <w:pPr>
              <w:spacing w:line="240" w:lineRule="auto" w:before="20" w:after="20"/>
            </w:pPr>
            <w:r/>
            <w:r>
              <w:rPr>
                <w:rFonts w:ascii="Times New Roman" w:hAnsi="Times New Roman"/>
                <w:b w:val="0"/>
                <w:i w:val="0"/>
                <w:sz w:val="18"/>
              </w:rPr>
              <w:t>All-cause dementia</w:t>
            </w:r>
          </w:p>
        </w:tc>
        <w:tc>
          <w:tcPr>
            <w:tcW w:type="dxa" w:w="1560"/>
          </w:tcPr>
          <w:p>
            <w:pPr>
              <w:spacing w:line="240" w:lineRule="auto" w:before="20" w:after="20"/>
            </w:pPr>
            <w:r/>
            <w:r>
              <w:rPr>
                <w:rFonts w:ascii="Times New Roman" w:hAnsi="Times New Roman"/>
                <w:b w:val="0"/>
                <w:i w:val="0"/>
                <w:sz w:val="18"/>
              </w:rPr>
              <w:t>216,771</w:t>
            </w:r>
          </w:p>
        </w:tc>
        <w:tc>
          <w:tcPr>
            <w:tcW w:type="dxa" w:w="1560"/>
          </w:tcPr>
          <w:p>
            <w:pPr>
              <w:spacing w:line="240" w:lineRule="auto" w:before="20" w:after="20"/>
            </w:pPr>
            <w:r/>
            <w:r>
              <w:rPr>
                <w:rFonts w:ascii="Times New Roman" w:hAnsi="Times New Roman"/>
                <w:b w:val="0"/>
                <w:i w:val="0"/>
                <w:sz w:val="18"/>
              </w:rPr>
              <w:t>7,284 / 209,487</w:t>
            </w:r>
          </w:p>
        </w:tc>
        <w:tc>
          <w:tcPr>
            <w:tcW w:type="dxa" w:w="1560"/>
          </w:tcPr>
          <w:p>
            <w:pPr>
              <w:spacing w:line="240" w:lineRule="auto" w:before="20" w:after="20"/>
            </w:pPr>
            <w:r/>
            <w:r>
              <w:rPr>
                <w:rFonts w:ascii="Times New Roman" w:hAnsi="Times New Roman"/>
                <w:b w:val="0"/>
                <w:i w:val="0"/>
                <w:sz w:val="18"/>
              </w:rPr>
              <w:t>FinnGen (36653562)</w:t>
            </w:r>
          </w:p>
        </w:tc>
      </w:tr>
      <w:tr>
        <w:tc>
          <w:tcPr>
            <w:tcW w:type="dxa" w:w="1560"/>
          </w:tcPr>
          <w:p>
            <w:pPr>
              <w:spacing w:line="240" w:lineRule="auto" w:before="20" w:after="20"/>
            </w:pPr>
            <w:r/>
            <w:r>
              <w:rPr>
                <w:rFonts w:ascii="Times New Roman" w:hAnsi="Times New Roman"/>
                <w:b w:val="0"/>
                <w:i w:val="0"/>
                <w:sz w:val="18"/>
              </w:rPr>
              <w:t>Mediator</w:t>
            </w:r>
          </w:p>
        </w:tc>
        <w:tc>
          <w:tcPr>
            <w:tcW w:type="dxa" w:w="1560"/>
          </w:tcPr>
          <w:p>
            <w:pPr>
              <w:spacing w:line="240" w:lineRule="auto" w:before="20" w:after="20"/>
            </w:pPr>
            <w:r/>
            <w:r>
              <w:rPr>
                <w:rFonts w:ascii="Times New Roman" w:hAnsi="Times New Roman"/>
                <w:b w:val="0"/>
                <w:i w:val="0"/>
                <w:sz w:val="18"/>
              </w:rPr>
              <w:t>ieu-b-102</w:t>
            </w:r>
          </w:p>
        </w:tc>
        <w:tc>
          <w:tcPr>
            <w:tcW w:type="dxa" w:w="1560"/>
          </w:tcPr>
          <w:p>
            <w:pPr>
              <w:spacing w:line="240" w:lineRule="auto" w:before="20" w:after="20"/>
            </w:pPr>
            <w:r/>
            <w:r>
              <w:rPr>
                <w:rFonts w:ascii="Times New Roman" w:hAnsi="Times New Roman"/>
                <w:b w:val="0"/>
                <w:i w:val="0"/>
                <w:sz w:val="18"/>
              </w:rPr>
              <w:t>Major depression</w:t>
            </w:r>
          </w:p>
        </w:tc>
        <w:tc>
          <w:tcPr>
            <w:tcW w:type="dxa" w:w="1560"/>
          </w:tcPr>
          <w:p>
            <w:pPr>
              <w:spacing w:line="240" w:lineRule="auto" w:before="20" w:after="20"/>
            </w:pPr>
            <w:r/>
            <w:r>
              <w:rPr>
                <w:rFonts w:ascii="Times New Roman" w:hAnsi="Times New Roman"/>
                <w:b w:val="0"/>
                <w:i w:val="0"/>
                <w:sz w:val="18"/>
              </w:rPr>
              <w:t>500,199</w:t>
            </w:r>
          </w:p>
        </w:tc>
        <w:tc>
          <w:tcPr>
            <w:tcW w:type="dxa" w:w="1560"/>
          </w:tcPr>
          <w:p>
            <w:pPr>
              <w:spacing w:line="240" w:lineRule="auto" w:before="20" w:after="20"/>
            </w:pPr>
            <w:r/>
            <w:r>
              <w:rPr>
                <w:rFonts w:ascii="Times New Roman" w:hAnsi="Times New Roman"/>
                <w:b w:val="0"/>
                <w:i w:val="0"/>
                <w:sz w:val="18"/>
              </w:rPr>
              <w:t>170,756 / 329,443</w:t>
            </w:r>
          </w:p>
        </w:tc>
        <w:tc>
          <w:tcPr>
            <w:tcW w:type="dxa" w:w="1560"/>
          </w:tcPr>
          <w:p>
            <w:pPr>
              <w:spacing w:line="240" w:lineRule="auto" w:before="20" w:after="20"/>
            </w:pPr>
            <w:r/>
            <w:r>
              <w:rPr>
                <w:rFonts w:ascii="Times New Roman" w:hAnsi="Times New Roman"/>
                <w:b w:val="0"/>
                <w:i w:val="0"/>
                <w:sz w:val="18"/>
              </w:rPr>
              <w:t>PGC (30718901)</w:t>
            </w:r>
          </w:p>
        </w:tc>
      </w:tr>
      <w:tr>
        <w:tc>
          <w:tcPr>
            <w:tcW w:type="dxa" w:w="1560"/>
          </w:tcPr>
          <w:p>
            <w:pPr>
              <w:spacing w:line="240" w:lineRule="auto" w:before="20" w:after="20"/>
            </w:pPr>
            <w:r/>
            <w:r>
              <w:rPr>
                <w:rFonts w:ascii="Times New Roman" w:hAnsi="Times New Roman"/>
                <w:b w:val="0"/>
                <w:i w:val="0"/>
                <w:sz w:val="18"/>
              </w:rPr>
              <w:t>Mediator</w:t>
            </w:r>
          </w:p>
        </w:tc>
        <w:tc>
          <w:tcPr>
            <w:tcW w:type="dxa" w:w="1560"/>
          </w:tcPr>
          <w:p>
            <w:pPr>
              <w:spacing w:line="240" w:lineRule="auto" w:before="20" w:after="20"/>
            </w:pPr>
            <w:r/>
            <w:r>
              <w:rPr>
                <w:rFonts w:ascii="Times New Roman" w:hAnsi="Times New Roman"/>
                <w:b w:val="0"/>
                <w:i w:val="0"/>
                <w:sz w:val="18"/>
              </w:rPr>
              <w:t>ebi-a-GCST90029070</w:t>
            </w:r>
          </w:p>
        </w:tc>
        <w:tc>
          <w:tcPr>
            <w:tcW w:type="dxa" w:w="1560"/>
          </w:tcPr>
          <w:p>
            <w:pPr>
              <w:spacing w:line="240" w:lineRule="auto" w:before="20" w:after="20"/>
            </w:pPr>
            <w:r/>
            <w:r>
              <w:rPr>
                <w:rFonts w:ascii="Times New Roman" w:hAnsi="Times New Roman"/>
                <w:b w:val="0"/>
                <w:i w:val="0"/>
                <w:sz w:val="18"/>
              </w:rPr>
              <w:t>CRP</w:t>
            </w:r>
          </w:p>
        </w:tc>
        <w:tc>
          <w:tcPr>
            <w:tcW w:type="dxa" w:w="1560"/>
          </w:tcPr>
          <w:p>
            <w:pPr>
              <w:spacing w:line="240" w:lineRule="auto" w:before="20" w:after="20"/>
            </w:pPr>
            <w:r/>
            <w:r>
              <w:rPr>
                <w:rFonts w:ascii="Times New Roman" w:hAnsi="Times New Roman"/>
                <w:b w:val="0"/>
                <w:i w:val="0"/>
                <w:sz w:val="18"/>
              </w:rPr>
              <w:t>575,531</w:t>
            </w:r>
          </w:p>
        </w:tc>
        <w:tc>
          <w:tcPr>
            <w:tcW w:type="dxa" w:w="1560"/>
          </w:tcPr>
          <w:p>
            <w:pPr>
              <w:spacing w:line="240" w:lineRule="auto" w:before="20" w:after="20"/>
            </w:pPr>
            <w:r/>
            <w:r>
              <w:rPr>
                <w:rFonts w:ascii="Times New Roman" w:hAnsi="Times New Roman"/>
                <w:b w:val="0"/>
                <w:i w:val="0"/>
                <w:sz w:val="18"/>
              </w:rPr>
              <w:t>—</w:t>
            </w:r>
          </w:p>
        </w:tc>
        <w:tc>
          <w:tcPr>
            <w:tcW w:type="dxa" w:w="1560"/>
          </w:tcPr>
          <w:p>
            <w:pPr>
              <w:spacing w:line="240" w:lineRule="auto" w:before="20" w:after="20"/>
            </w:pPr>
            <w:r/>
            <w:r>
              <w:rPr>
                <w:rFonts w:ascii="Times New Roman" w:hAnsi="Times New Roman"/>
                <w:b w:val="0"/>
                <w:i w:val="0"/>
                <w:sz w:val="18"/>
              </w:rPr>
              <w:t>Said 2022 (35459240)</w:t>
            </w:r>
          </w:p>
        </w:tc>
      </w:tr>
      <w:tr>
        <w:tc>
          <w:tcPr>
            <w:tcW w:type="dxa" w:w="1560"/>
          </w:tcPr>
          <w:p>
            <w:pPr>
              <w:spacing w:line="240" w:lineRule="auto" w:before="20" w:after="20"/>
            </w:pPr>
            <w:r/>
            <w:r>
              <w:rPr>
                <w:rFonts w:ascii="Times New Roman" w:hAnsi="Times New Roman"/>
                <w:b w:val="0"/>
                <w:i w:val="0"/>
                <w:sz w:val="18"/>
              </w:rPr>
              <w:t>Mediator</w:t>
            </w:r>
          </w:p>
        </w:tc>
        <w:tc>
          <w:tcPr>
            <w:tcW w:type="dxa" w:w="1560"/>
          </w:tcPr>
          <w:p>
            <w:pPr>
              <w:spacing w:line="240" w:lineRule="auto" w:before="20" w:after="20"/>
            </w:pPr>
            <w:r/>
            <w:r>
              <w:rPr>
                <w:rFonts w:ascii="Times New Roman" w:hAnsi="Times New Roman"/>
                <w:b w:val="0"/>
                <w:i w:val="0"/>
                <w:sz w:val="18"/>
              </w:rPr>
              <w:t>ukb-b-3957</w:t>
            </w:r>
          </w:p>
        </w:tc>
        <w:tc>
          <w:tcPr>
            <w:tcW w:type="dxa" w:w="1560"/>
          </w:tcPr>
          <w:p>
            <w:pPr>
              <w:spacing w:line="240" w:lineRule="auto" w:before="20" w:after="20"/>
            </w:pPr>
            <w:r/>
            <w:r>
              <w:rPr>
                <w:rFonts w:ascii="Times New Roman" w:hAnsi="Times New Roman"/>
                <w:b w:val="0"/>
                <w:i w:val="0"/>
                <w:sz w:val="18"/>
              </w:rPr>
              <w:t>Insomnia</w:t>
            </w:r>
          </w:p>
        </w:tc>
        <w:tc>
          <w:tcPr>
            <w:tcW w:type="dxa" w:w="1560"/>
          </w:tcPr>
          <w:p>
            <w:pPr>
              <w:spacing w:line="240" w:lineRule="auto" w:before="20" w:after="20"/>
            </w:pPr>
            <w:r/>
            <w:r>
              <w:rPr>
                <w:rFonts w:ascii="Times New Roman" w:hAnsi="Times New Roman"/>
                <w:b w:val="0"/>
                <w:i w:val="0"/>
                <w:sz w:val="18"/>
              </w:rPr>
              <w:t>462,341</w:t>
            </w:r>
          </w:p>
        </w:tc>
        <w:tc>
          <w:tcPr>
            <w:tcW w:type="dxa" w:w="1560"/>
          </w:tcPr>
          <w:p>
            <w:pPr>
              <w:spacing w:line="240" w:lineRule="auto" w:before="20" w:after="20"/>
            </w:pPr>
            <w:r/>
            <w:r>
              <w:rPr>
                <w:rFonts w:ascii="Times New Roman" w:hAnsi="Times New Roman"/>
                <w:b w:val="0"/>
                <w:i w:val="0"/>
                <w:sz w:val="18"/>
              </w:rPr>
              <w:t>—</w:t>
            </w:r>
          </w:p>
        </w:tc>
        <w:tc>
          <w:tcPr>
            <w:tcW w:type="dxa" w:w="1560"/>
          </w:tcPr>
          <w:p>
            <w:pPr>
              <w:spacing w:line="240" w:lineRule="auto" w:before="20" w:after="20"/>
            </w:pPr>
            <w:r/>
            <w:r>
              <w:rPr>
                <w:rFonts w:ascii="Times New Roman" w:hAnsi="Times New Roman"/>
                <w:b w:val="0"/>
                <w:i w:val="0"/>
                <w:sz w:val="18"/>
              </w:rPr>
              <w:t>MRC-IEU (2018)</w:t>
            </w:r>
          </w:p>
        </w:tc>
      </w:tr>
    </w:tbl>
    <w:p>
      <w:pPr>
        <w:spacing w:line="240" w:lineRule="auto" w:before="0" w:after="80"/>
      </w:pPr>
    </w:p>
    <w:p>
      <w:pPr>
        <w:spacing w:before="0" w:after="0"/>
      </w:pPr>
      <w:r>
        <w:rPr>
          <w:rFonts w:ascii="Times New Roman" w:hAnsi="Times New Roman"/>
          <w:b w:val="0"/>
          <w:i w:val="0"/>
        </w:rPr>
        <w:t xml:space="preserve">¹ </w:t>
      </w:r>
      <w:r>
        <w:rPr>
          <w:rFonts w:ascii="Courier New" w:hAnsi="Courier New"/>
          <w:b w:val="0"/>
          <w:i w:val="0"/>
        </w:rPr>
        <w:t>ebi-a-GCST006572</w:t>
      </w:r>
      <w:r>
        <w:rPr>
          <w:rFonts w:ascii="Times New Roman" w:hAnsi="Times New Roman"/>
          <w:b w:val="0"/>
          <w:i w:val="0"/>
        </w:rPr>
        <w:t xml:space="preserve"> is a UK Biobank–derived cognitive-performance GWAS (n=257,841). Its OpenGWAS/GWAS Catalog metadata is attributed to Lee et al. 2018 (PMID 30038396, educational attainment); the summary statistics used here are the UKB cognitive-performance score, cited by accession and trait.</w:t>
      </w:r>
    </w:p>
    <w:p>
      <w:pPr>
        <w:spacing w:before="160" w:after="80"/>
      </w:pPr>
      <w:r>
        <w:rPr>
          <w:rFonts w:ascii="Times New Roman" w:hAnsi="Times New Roman"/>
          <w:b/>
          <w:i w:val="0"/>
          <w:sz w:val="24"/>
        </w:rPr>
        <w:t>2.3 Instrumental variable selection</w:t>
      </w:r>
    </w:p>
    <w:p>
      <w:pPr>
        <w:spacing w:before="0" w:after="0"/>
      </w:pPr>
      <w:r>
        <w:rPr>
          <w:rFonts w:ascii="Times New Roman" w:hAnsi="Times New Roman"/>
          <w:b w:val="0"/>
          <w:i w:val="0"/>
        </w:rPr>
        <w:t xml:space="preserve">MCP SNPs were selected at genome-wide significance (P&lt;5×10⁻⁸) and LD-clumped (r²&lt;0.001 within 10,000 kb; 1,000 Genomes European reference) using </w:t>
      </w:r>
      <w:r>
        <w:rPr>
          <w:rFonts w:ascii="Courier New" w:hAnsi="Courier New"/>
          <w:b w:val="0"/>
          <w:i w:val="0"/>
        </w:rPr>
        <w:t>ieugwasr</w:t>
      </w:r>
      <w:r>
        <w:rPr>
          <w:rFonts w:ascii="Times New Roman" w:hAnsi="Times New Roman"/>
          <w:b w:val="0"/>
          <w:i w:val="0"/>
        </w:rPr>
        <w:t xml:space="preserve">. Palindromic/ambiguous SNPs were dropped. This yielded </w:t>
      </w:r>
      <w:r>
        <w:rPr>
          <w:rFonts w:ascii="Times New Roman" w:hAnsi="Times New Roman"/>
          <w:b/>
          <w:i w:val="0"/>
        </w:rPr>
        <w:t>51 independent lead SNPs</w:t>
      </w:r>
      <w:r>
        <w:rPr>
          <w:rFonts w:ascii="Times New Roman" w:hAnsi="Times New Roman"/>
          <w:b w:val="0"/>
          <w:i w:val="0"/>
        </w:rPr>
        <w:t xml:space="preserve">, of which 41–43 were harmonised into the cognitive/dementia outcomes. The reverse (cognition→MCP) analysis </w:t>
      </w:r>
      <w:r>
        <w:rPr>
          <w:rFonts w:ascii="Times New Roman" w:hAnsi="Times New Roman"/>
          <w:b/>
          <w:i w:val="0"/>
        </w:rPr>
        <w:t>selected a separate set of 146 independent cognitive instruments</w:t>
      </w:r>
      <w:r>
        <w:rPr>
          <w:rFonts w:ascii="Times New Roman" w:hAnsi="Times New Roman"/>
          <w:b w:val="0"/>
          <w:i w:val="0"/>
        </w:rPr>
        <w:t xml:space="preserve"> (not a subset of the 51 MCP SNPs). </w:t>
      </w:r>
      <w:r>
        <w:rPr>
          <w:rFonts w:ascii="Times New Roman" w:hAnsi="Times New Roman"/>
          <w:b w:val="0"/>
          <w:i/>
        </w:rPr>
        <w:t>These 146 SNPs derive from the same UKB-derived cognitive-performance GWAS used as the forward outcome, so the reverse direction is affected by UKB sample overlap at least as heavily as the forward direction</w:t>
      </w:r>
      <w:r>
        <w:rPr>
          <w:rFonts w:ascii="Times New Roman" w:hAnsi="Times New Roman"/>
          <w:b w:val="0"/>
          <w:i w:val="0"/>
        </w:rPr>
        <w:t xml:space="preserve"> (see §3.2). Instrument strength was strong: across the 41–43 harmonised SNPs the mean per-SNP F-statistic was ≈33 (minimum ≈22), far above the conventional weak-instrument threshold of 10, indicating adequate relevance.</w:t>
      </w:r>
    </w:p>
    <w:p>
      <w:pPr>
        <w:spacing w:before="160" w:after="80"/>
      </w:pPr>
      <w:r>
        <w:rPr>
          <w:rFonts w:ascii="Times New Roman" w:hAnsi="Times New Roman"/>
          <w:b/>
          <w:i w:val="0"/>
          <w:sz w:val="24"/>
        </w:rPr>
        <w:t>2.4 MR analysis</w:t>
      </w:r>
    </w:p>
    <w:p>
      <w:pPr>
        <w:spacing w:before="0" w:after="0"/>
      </w:pPr>
      <w:r>
        <w:rPr>
          <w:rFonts w:ascii="Times New Roman" w:hAnsi="Times New Roman"/>
          <w:b w:val="0"/>
          <w:i w:val="0"/>
        </w:rPr>
        <w:t>Primary estimate: inverse-variance-weighted (IVW) fixed-effect [12]. Sensitivity: MR-Egger (pleiotropy via intercept) [10], weighted median (robust to ≤50% invalid instruments) [11]. Heterogeneity: Cochran Q, reported together with I² = (Q−df)/Q to convey the proportion of variation due to heterogeneity rather than sampling error [e.g., cognition I²≈83.5%]. Directionality: Steiger test [15] (tests whether the exposure explains more variance than the outcome; significant p&lt;0.05 supports the specified direction). The Steiger test was applied to the primary forward direction (MCP→cognition) only and was not performed in the reverse direction, so it speaks solely to the forward causal ordering. Leave-one-out: re-estimation excluding each SNP. All methods implemented in R (ieugwasr 1.1.0 [9]; TwoSampleMR unavailable in-environment).</w:t>
      </w:r>
    </w:p>
    <w:p>
      <w:pPr>
        <w:spacing w:before="0" w:after="0"/>
      </w:pPr>
      <w:r>
        <w:rPr>
          <w:rFonts w:ascii="Times New Roman" w:hAnsi="Times New Roman"/>
          <w:b/>
          <w:i w:val="0"/>
        </w:rPr>
        <w:t>Effect-size units.</w:t>
      </w:r>
      <w:r>
        <w:rPr>
          <w:rFonts w:ascii="Times New Roman" w:hAnsi="Times New Roman"/>
          <w:b w:val="0"/>
          <w:i w:val="0"/>
        </w:rPr>
        <w:t xml:space="preserve"> For the continuous cognitive-performance outcome, every β is reported as the change per </w:t>
      </w:r>
      <w:r>
        <w:rPr>
          <w:rFonts w:ascii="Times New Roman" w:hAnsi="Times New Roman"/>
          <w:b/>
          <w:i w:val="0"/>
        </w:rPr>
        <w:t>1-SD genetically predicted increase in MCP</w:t>
      </w:r>
      <w:r>
        <w:rPr>
          <w:rFonts w:ascii="Times New Roman" w:hAnsi="Times New Roman"/>
          <w:b w:val="0"/>
          <w:i w:val="0"/>
        </w:rPr>
        <w:t xml:space="preserve"> (i.e., the SNP-instrumented MCP liability). For binary outcomes (AD, all-cause dementia) and the binary NHANES models, β is on the log-odds scale per 1-SD genetically predicted MCP increase. All CIs are 95%.</w:t>
      </w:r>
    </w:p>
    <w:p>
      <w:pPr>
        <w:spacing w:before="0" w:after="0"/>
      </w:pPr>
      <w:r>
        <w:rPr>
          <w:rFonts w:ascii="Times New Roman" w:hAnsi="Times New Roman"/>
          <w:b w:val="0"/>
          <w:i/>
        </w:rPr>
        <w:t>Two distinct concepts are reported separately and must not be conflated:</w:t>
      </w:r>
      <w:r>
        <w:rPr>
          <w:rFonts w:ascii="Times New Roman" w:hAnsi="Times New Roman"/>
          <w:b w:val="0"/>
          <w:i w:val="0"/>
        </w:rPr>
        <w:t xml:space="preserve"> (a) a </w:t>
      </w:r>
      <w:r>
        <w:rPr>
          <w:rFonts w:ascii="Times New Roman" w:hAnsi="Times New Roman"/>
          <w:b/>
          <w:i w:val="0"/>
        </w:rPr>
        <w:t>non-significant MR-Egger intercept</w:t>
      </w:r>
      <w:r>
        <w:rPr>
          <w:rFonts w:ascii="Times New Roman" w:hAnsi="Times New Roman"/>
          <w:b w:val="0"/>
          <w:i w:val="0"/>
        </w:rPr>
        <w:t xml:space="preserve"> indicates </w:t>
      </w:r>
      <w:r>
        <w:rPr>
          <w:rFonts w:ascii="Times New Roman" w:hAnsi="Times New Roman"/>
          <w:b w:val="0"/>
          <w:i/>
        </w:rPr>
        <w:t>no detectable directional (balanced) pleiotropy</w:t>
      </w:r>
      <w:r>
        <w:rPr>
          <w:rFonts w:ascii="Times New Roman" w:hAnsi="Times New Roman"/>
          <w:b w:val="0"/>
          <w:i w:val="0"/>
        </w:rPr>
        <w:t xml:space="preserve">; (b) a </w:t>
      </w:r>
      <w:r>
        <w:rPr>
          <w:rFonts w:ascii="Times New Roman" w:hAnsi="Times New Roman"/>
          <w:b/>
          <w:i w:val="0"/>
        </w:rPr>
        <w:t>non-significant Steiger test</w:t>
      </w:r>
      <w:r>
        <w:rPr>
          <w:rFonts w:ascii="Times New Roman" w:hAnsi="Times New Roman"/>
          <w:b w:val="0"/>
          <w:i w:val="0"/>
        </w:rPr>
        <w:t xml:space="preserve"> indicates that the genetic-correlation structure does </w:t>
      </w:r>
      <w:r>
        <w:rPr>
          <w:rFonts w:ascii="Times New Roman" w:hAnsi="Times New Roman"/>
          <w:b w:val="0"/>
          <w:i/>
        </w:rPr>
        <w:t>not</w:t>
      </w:r>
      <w:r>
        <w:rPr>
          <w:rFonts w:ascii="Times New Roman" w:hAnsi="Times New Roman"/>
          <w:b w:val="0"/>
          <w:i w:val="0"/>
        </w:rPr>
        <w:t xml:space="preserve"> establish the exposure→outcome direction. They answer different questions.</w:t>
      </w:r>
    </w:p>
    <w:p>
      <w:pPr>
        <w:spacing w:before="0" w:after="0"/>
      </w:pPr>
      <w:r>
        <w:rPr>
          <w:rFonts w:ascii="Times New Roman" w:hAnsi="Times New Roman"/>
          <w:b w:val="0"/>
          <w:i/>
        </w:rPr>
        <w:t>Outlier robustness.</w:t>
      </w:r>
      <w:r>
        <w:rPr>
          <w:rFonts w:ascii="Times New Roman" w:hAnsi="Times New Roman"/>
          <w:b w:val="0"/>
          <w:i w:val="0"/>
        </w:rPr>
        <w:t xml:space="preserve"> The Statistical Analysis Plan (§4.3) specified MR-PRESSO and outlier-SNP re-estimation. These could </w:t>
      </w:r>
      <w:r>
        <w:rPr>
          <w:rFonts w:ascii="Times New Roman" w:hAnsi="Times New Roman"/>
          <w:b/>
          <w:i w:val="0"/>
        </w:rPr>
        <w:t>not</w:t>
      </w:r>
      <w:r>
        <w:rPr>
          <w:rFonts w:ascii="Times New Roman" w:hAnsi="Times New Roman"/>
          <w:b w:val="0"/>
          <w:i w:val="0"/>
        </w:rPr>
        <w:t xml:space="preserve"> be executed because the TwoSampleMR / mr_presso stack was unavailable in the analysis environment (only </w:t>
      </w:r>
      <w:r>
        <w:rPr>
          <w:rFonts w:ascii="Courier New" w:hAnsi="Courier New"/>
          <w:b w:val="0"/>
          <w:i w:val="0"/>
        </w:rPr>
        <w:t>ieugwasr</w:t>
      </w:r>
      <w:r>
        <w:rPr>
          <w:rFonts w:ascii="Times New Roman" w:hAnsi="Times New Roman"/>
          <w:b w:val="0"/>
          <w:i w:val="0"/>
        </w:rPr>
        <w:t xml:space="preserve"> ran). As the primary outlier-robustness proxy we rely on leave-one-out (no single SNP was influential; §3.1) and report this limitation explicitly. MR-PRESSO / Radial MR are recommended as future work once the full TwoSampleMR stack is available.</w:t>
      </w:r>
    </w:p>
    <w:p>
      <w:pPr>
        <w:spacing w:before="0" w:after="0"/>
      </w:pPr>
      <w:r>
        <w:rPr>
          <w:rFonts w:ascii="Times New Roman" w:hAnsi="Times New Roman"/>
          <w:b w:val="0"/>
          <w:i/>
        </w:rPr>
        <w:t>Statistical framework.</w:t>
      </w:r>
      <w:r>
        <w:rPr>
          <w:rFonts w:ascii="Times New Roman" w:hAnsi="Times New Roman"/>
          <w:b w:val="0"/>
          <w:i w:val="0"/>
        </w:rPr>
        <w:t xml:space="preserve"> The primary hypothesis was MCP→cognitive performance; all other directions and the three mediation paths were </w:t>
      </w:r>
      <w:r>
        <w:rPr>
          <w:rFonts w:ascii="Times New Roman" w:hAnsi="Times New Roman"/>
          <w:b/>
          <w:i w:val="0"/>
        </w:rPr>
        <w:t>exploratory</w:t>
      </w:r>
      <w:r>
        <w:rPr>
          <w:rFonts w:ascii="Times New Roman" w:hAnsi="Times New Roman"/>
          <w:b w:val="0"/>
          <w:i w:val="0"/>
        </w:rPr>
        <w:t>. No formal multiple-comparison correction was applied, but all p-values are reported to allow reader judgement.</w:t>
      </w:r>
    </w:p>
    <w:p>
      <w:pPr>
        <w:spacing w:before="160" w:after="80"/>
      </w:pPr>
      <w:r>
        <w:rPr>
          <w:rFonts w:ascii="Times New Roman" w:hAnsi="Times New Roman"/>
          <w:b/>
          <w:i w:val="0"/>
          <w:sz w:val="24"/>
        </w:rPr>
        <w:t>2.5 Two-step mediation MR</w:t>
      </w:r>
    </w:p>
    <w:p>
      <w:pPr>
        <w:spacing w:before="0" w:after="0"/>
      </w:pPr>
      <w:r>
        <w:rPr>
          <w:rFonts w:ascii="Times New Roman" w:hAnsi="Times New Roman"/>
          <w:b w:val="0"/>
          <w:i w:val="0"/>
        </w:rPr>
        <w:t xml:space="preserve">Path MCP → mediator → cognition, using the two-step MR mediation framework [14]. Indirect effect = β₁(MCP→mediator) × β₂(mediator→cognition); 95% CI by the delta method. Mediation results are interpreted as </w:t>
      </w:r>
      <w:r>
        <w:rPr>
          <w:rFonts w:ascii="Times New Roman" w:hAnsi="Times New Roman"/>
          <w:b/>
          <w:i w:val="0"/>
        </w:rPr>
        <w:t>suggestive only</w:t>
      </w:r>
      <w:r>
        <w:rPr>
          <w:rFonts w:ascii="Times New Roman" w:hAnsi="Times New Roman"/>
          <w:b w:val="0"/>
          <w:i w:val="0"/>
        </w:rPr>
        <w:t xml:space="preserve"> [14] and were underpowered (see §3.3).</w:t>
      </w:r>
    </w:p>
    <w:p>
      <w:pPr>
        <w:spacing w:before="160" w:after="80"/>
      </w:pPr>
      <w:r>
        <w:rPr>
          <w:rFonts w:ascii="Times New Roman" w:hAnsi="Times New Roman"/>
          <w:b/>
          <w:i w:val="0"/>
          <w:sz w:val="24"/>
        </w:rPr>
        <w:t>2.6 NHANES auxiliary analysis</w:t>
      </w:r>
    </w:p>
    <w:p>
      <w:pPr>
        <w:spacing w:before="0" w:after="0"/>
      </w:pPr>
      <w:r>
        <w:rPr>
          <w:rFonts w:ascii="Times New Roman" w:hAnsi="Times New Roman"/>
          <w:b w:val="0"/>
          <w:i w:val="0"/>
        </w:rPr>
        <w:t xml:space="preserve">Survey-weighted prevalences and a quasibinomial model of subjective memory complaint (MCQ160E) on depression (PHQ-9≥10), sleep trouble (SLQ050), functional limitation (any PFQ difficulty), age, and sex, using </w:t>
      </w:r>
      <w:r>
        <w:rPr>
          <w:rFonts w:ascii="Courier New" w:hAnsi="Courier New"/>
          <w:b w:val="0"/>
          <w:i w:val="0"/>
        </w:rPr>
        <w:t>survey</w:t>
      </w:r>
      <w:r>
        <w:rPr>
          <w:rFonts w:ascii="Times New Roman" w:hAnsi="Times New Roman"/>
          <w:b w:val="0"/>
          <w:i w:val="0"/>
        </w:rPr>
        <w:t xml:space="preserve"> (4-cycle weights). NHANES lacks a pain×cognition overlap in these cycles, so it is used only for descriptive context, not causal testing.</w:t>
      </w:r>
    </w:p>
    <w:p>
      <w:pPr>
        <w:spacing w:before="160" w:after="80"/>
      </w:pPr>
      <w:r>
        <w:rPr>
          <w:rFonts w:ascii="Times New Roman" w:hAnsi="Times New Roman"/>
          <w:b/>
          <w:i w:val="0"/>
          <w:sz w:val="24"/>
        </w:rPr>
        <w:t xml:space="preserve">2.7 CHARLS longitudinal analysis </w:t>
      </w:r>
      <w:r>
        <w:rPr>
          <w:rFonts w:ascii="Times New Roman" w:hAnsi="Times New Roman"/>
          <w:b/>
          <w:i w:val="0"/>
          <w:sz w:val="24"/>
        </w:rPr>
        <w:t>[PENDING DATA]</w:t>
      </w:r>
    </w:p>
    <w:p>
      <w:pPr>
        <w:spacing w:before="0" w:after="0"/>
      </w:pPr>
      <w:r>
        <w:rPr>
          <w:rFonts w:ascii="Times New Roman" w:hAnsi="Times New Roman"/>
          <w:b w:val="0"/>
          <w:i w:val="0"/>
        </w:rPr>
        <w:t>For each wave 2011–2020, pain-site count (DA042*; 0/1/2/≥3) and a within-wave z-scored cognitive composite (dc009s1–10, dc012s1–10, dc024, dc003–006, dc014) will be derived (</w:t>
      </w:r>
      <w:r>
        <w:rPr>
          <w:rFonts w:ascii="Courier New" w:hAnsi="Courier New"/>
          <w:b w:val="0"/>
          <w:i w:val="0"/>
        </w:rPr>
        <w:t>10_charls_extract.R</w:t>
      </w:r>
      <w:r>
        <w:rPr>
          <w:rFonts w:ascii="Times New Roman" w:hAnsi="Times New Roman"/>
          <w:b w:val="0"/>
          <w:i w:val="0"/>
        </w:rPr>
        <w:t>). Linear mixed models (pain burden × wave, random intercept/slope) and Cox models for incident decline (</w:t>
      </w:r>
      <w:r>
        <w:rPr>
          <w:rFonts w:ascii="Courier New" w:hAnsi="Courier New"/>
          <w:b w:val="0"/>
          <w:i w:val="0"/>
        </w:rPr>
        <w:t>01_charls.R</w:t>
      </w:r>
      <w:r>
        <w:rPr>
          <w:rFonts w:ascii="Times New Roman" w:hAnsi="Times New Roman"/>
          <w:b w:val="0"/>
          <w:i w:val="0"/>
        </w:rPr>
        <w:t>) will be run. Not yet executed.</w:t>
      </w:r>
    </w:p>
    <w:p>
      <w:pPr>
        <w:spacing w:before="160" w:after="80"/>
      </w:pPr>
      <w:r>
        <w:rPr>
          <w:rFonts w:ascii="Times New Roman" w:hAnsi="Times New Roman"/>
          <w:b/>
          <w:i w:val="0"/>
          <w:sz w:val="24"/>
        </w:rPr>
        <w:t>2.8 Ethics</w:t>
      </w:r>
    </w:p>
    <w:p>
      <w:pPr>
        <w:spacing w:before="0" w:after="0"/>
      </w:pPr>
      <w:r>
        <w:rPr>
          <w:rFonts w:ascii="Times New Roman" w:hAnsi="Times New Roman"/>
          <w:b w:val="0"/>
          <w:i w:val="0"/>
        </w:rPr>
        <w:t>MR uses only published summary statistics; NHANES and CHARLS are public, de-identified, consent-covered datasets. This analysis is exempt from individual consent.</w:t>
      </w:r>
    </w:p>
    <w:p>
      <w:pPr>
        <w:spacing w:before="160" w:after="80"/>
      </w:pPr>
      <w:r>
        <w:rPr>
          <w:rFonts w:ascii="Times New Roman" w:hAnsi="Times New Roman"/>
          <w:b/>
          <w:i w:val="0"/>
          <w:sz w:val="24"/>
        </w:rPr>
        <w:t>3. Results</w:t>
      </w:r>
    </w:p>
    <w:p>
      <w:pPr>
        <w:spacing w:before="160" w:after="80"/>
      </w:pPr>
      <w:r>
        <w:rPr>
          <w:rFonts w:ascii="Times New Roman" w:hAnsi="Times New Roman"/>
          <w:b/>
          <w:i w:val="0"/>
          <w:sz w:val="24"/>
        </w:rPr>
        <w:t>3.1 Forward MR — MCP → cognitive and dementia outcomes</w:t>
      </w:r>
    </w:p>
    <w:p>
      <w:pPr>
        <w:spacing w:before="0" w:after="0"/>
      </w:pPr>
      <w:r>
        <w:rPr>
          <w:rFonts w:ascii="Times New Roman" w:hAnsi="Times New Roman"/>
          <w:b w:val="0"/>
          <w:i w:val="0"/>
        </w:rPr>
        <w:t xml:space="preserve">All estimates below express the effect of a </w:t>
      </w:r>
      <w:r>
        <w:rPr>
          <w:rFonts w:ascii="Times New Roman" w:hAnsi="Times New Roman"/>
          <w:b/>
          <w:i w:val="0"/>
        </w:rPr>
        <w:t>1-SD genetically predicted increase in MCP</w:t>
      </w:r>
      <w:r>
        <w:rPr>
          <w:rFonts w:ascii="Times New Roman" w:hAnsi="Times New Roman"/>
          <w:b w:val="0"/>
          <w:i w:val="0"/>
        </w:rPr>
        <w:t>; binary outcomes (AD, all-cause dementia) are on the log-odds scale.</w:t>
      </w:r>
    </w:p>
    <w:tbl>
      <w:tblPr>
        <w:tblStyle w:val="TableGrid"/>
        <w:tblW w:type="auto" w:w="0"/>
        <w:jc w:val="center"/>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rPr>
          <w:tblHeader/>
        </w:trPr>
        <w:tc>
          <w:tcPr>
            <w:tcW w:type="dxa" w:w="1040"/>
          </w:tcPr>
          <w:p>
            <w:pPr>
              <w:spacing w:line="240" w:lineRule="auto" w:before="20" w:after="20"/>
            </w:pPr>
            <w:r/>
            <w:r>
              <w:rPr>
                <w:rFonts w:ascii="Times New Roman" w:hAnsi="Times New Roman"/>
                <w:b/>
                <w:i w:val="0"/>
                <w:sz w:val="18"/>
              </w:rPr>
              <w:t>Outcome (GWAS)</w:t>
            </w:r>
          </w:p>
        </w:tc>
        <w:tc>
          <w:tcPr>
            <w:tcW w:type="dxa" w:w="1040"/>
          </w:tcPr>
          <w:p>
            <w:pPr>
              <w:spacing w:line="240" w:lineRule="auto" w:before="20" w:after="20"/>
            </w:pPr>
            <w:r/>
            <w:r>
              <w:rPr>
                <w:rFonts w:ascii="Times New Roman" w:hAnsi="Times New Roman"/>
                <w:b/>
                <w:i w:val="0"/>
                <w:sz w:val="18"/>
              </w:rPr>
              <w:t>n SNP</w:t>
            </w:r>
          </w:p>
        </w:tc>
        <w:tc>
          <w:tcPr>
            <w:tcW w:type="dxa" w:w="1040"/>
          </w:tcPr>
          <w:p>
            <w:pPr>
              <w:spacing w:line="240" w:lineRule="auto" w:before="20" w:after="20"/>
            </w:pPr>
            <w:r/>
            <w:r>
              <w:rPr>
                <w:rFonts w:ascii="Times New Roman" w:hAnsi="Times New Roman"/>
                <w:b/>
                <w:i w:val="0"/>
                <w:sz w:val="18"/>
              </w:rPr>
              <w:t>IVW β (95% CI)</w:t>
            </w:r>
          </w:p>
        </w:tc>
        <w:tc>
          <w:tcPr>
            <w:tcW w:type="dxa" w:w="1040"/>
          </w:tcPr>
          <w:p>
            <w:pPr>
              <w:spacing w:line="240" w:lineRule="auto" w:before="20" w:after="20"/>
            </w:pPr>
            <w:r/>
            <w:r>
              <w:rPr>
                <w:rFonts w:ascii="Times New Roman" w:hAnsi="Times New Roman"/>
                <w:b/>
                <w:i w:val="0"/>
                <w:sz w:val="18"/>
              </w:rPr>
              <w:t>p</w:t>
            </w:r>
          </w:p>
        </w:tc>
        <w:tc>
          <w:tcPr>
            <w:tcW w:type="dxa" w:w="1040"/>
          </w:tcPr>
          <w:p>
            <w:pPr>
              <w:spacing w:line="240" w:lineRule="auto" w:before="20" w:after="20"/>
            </w:pPr>
            <w:r/>
            <w:r>
              <w:rPr>
                <w:rFonts w:ascii="Times New Roman" w:hAnsi="Times New Roman"/>
                <w:b/>
                <w:i w:val="0"/>
                <w:sz w:val="18"/>
              </w:rPr>
              <w:t>Egger β (int p)</w:t>
            </w:r>
          </w:p>
        </w:tc>
        <w:tc>
          <w:tcPr>
            <w:tcW w:type="dxa" w:w="1040"/>
          </w:tcPr>
          <w:p>
            <w:pPr>
              <w:spacing w:line="240" w:lineRule="auto" w:before="20" w:after="20"/>
            </w:pPr>
            <w:r/>
            <w:r>
              <w:rPr>
                <w:rFonts w:ascii="Times New Roman" w:hAnsi="Times New Roman"/>
                <w:b/>
                <w:i w:val="0"/>
                <w:sz w:val="18"/>
              </w:rPr>
              <w:t>WMed β</w:t>
            </w:r>
          </w:p>
        </w:tc>
        <w:tc>
          <w:tcPr>
            <w:tcW w:type="dxa" w:w="1040"/>
          </w:tcPr>
          <w:p>
            <w:pPr>
              <w:spacing w:line="240" w:lineRule="auto" w:before="20" w:after="20"/>
            </w:pPr>
            <w:r/>
            <w:r>
              <w:rPr>
                <w:rFonts w:ascii="Times New Roman" w:hAnsi="Times New Roman"/>
                <w:b/>
                <w:i w:val="0"/>
                <w:sz w:val="18"/>
              </w:rPr>
              <w:t>Cochran Q (p)</w:t>
            </w:r>
          </w:p>
        </w:tc>
        <w:tc>
          <w:tcPr>
            <w:tcW w:type="dxa" w:w="1040"/>
          </w:tcPr>
          <w:p>
            <w:pPr>
              <w:spacing w:line="240" w:lineRule="auto" w:before="20" w:after="20"/>
            </w:pPr>
            <w:r/>
            <w:r>
              <w:rPr>
                <w:rFonts w:ascii="Times New Roman" w:hAnsi="Times New Roman"/>
                <w:b/>
                <w:i w:val="0"/>
                <w:sz w:val="18"/>
              </w:rPr>
              <w:t>I²</w:t>
            </w:r>
          </w:p>
        </w:tc>
        <w:tc>
          <w:tcPr>
            <w:tcW w:type="dxa" w:w="1040"/>
          </w:tcPr>
          <w:p>
            <w:pPr>
              <w:spacing w:line="240" w:lineRule="auto" w:before="20" w:after="20"/>
            </w:pPr>
            <w:r/>
            <w:r>
              <w:rPr>
                <w:rFonts w:ascii="Times New Roman" w:hAnsi="Times New Roman"/>
                <w:b/>
                <w:i w:val="0"/>
                <w:sz w:val="18"/>
              </w:rPr>
              <w:t>LOO β</w:t>
            </w:r>
          </w:p>
        </w:tc>
      </w:tr>
      <w:tr>
        <w:tc>
          <w:tcPr>
            <w:tcW w:type="dxa" w:w="1040"/>
          </w:tcPr>
          <w:p>
            <w:pPr>
              <w:spacing w:line="240" w:lineRule="auto" w:before="20" w:after="20"/>
            </w:pPr>
            <w:r/>
            <w:r>
              <w:rPr>
                <w:rFonts w:ascii="Times New Roman" w:hAnsi="Times New Roman"/>
                <w:b w:val="0"/>
                <w:i w:val="0"/>
                <w:sz w:val="18"/>
              </w:rPr>
              <w:t>Cognitive performance</w:t>
            </w:r>
          </w:p>
        </w:tc>
        <w:tc>
          <w:tcPr>
            <w:tcW w:type="dxa" w:w="1040"/>
          </w:tcPr>
          <w:p>
            <w:pPr>
              <w:spacing w:line="240" w:lineRule="auto" w:before="20" w:after="20"/>
            </w:pPr>
            <w:r/>
            <w:r>
              <w:rPr>
                <w:rFonts w:ascii="Times New Roman" w:hAnsi="Times New Roman"/>
                <w:b w:val="0"/>
                <w:i w:val="0"/>
                <w:sz w:val="18"/>
              </w:rPr>
              <w:t>41</w:t>
            </w:r>
          </w:p>
        </w:tc>
        <w:tc>
          <w:tcPr>
            <w:tcW w:type="dxa" w:w="1040"/>
          </w:tcPr>
          <w:p>
            <w:pPr>
              <w:spacing w:line="240" w:lineRule="auto" w:before="20" w:after="20"/>
            </w:pPr>
            <w:r/>
            <w:r>
              <w:rPr>
                <w:rFonts w:ascii="Times New Roman" w:hAnsi="Times New Roman"/>
                <w:b/>
                <w:i w:val="0"/>
                <w:sz w:val="18"/>
              </w:rPr>
              <w:t>−0.361 (−0.424, −0.299)</w:t>
            </w:r>
          </w:p>
        </w:tc>
        <w:tc>
          <w:tcPr>
            <w:tcW w:type="dxa" w:w="1040"/>
          </w:tcPr>
          <w:p>
            <w:pPr>
              <w:spacing w:line="240" w:lineRule="auto" w:before="20" w:after="20"/>
            </w:pPr>
            <w:r/>
            <w:r>
              <w:rPr>
                <w:rFonts w:ascii="Times New Roman" w:hAnsi="Times New Roman"/>
                <w:b/>
                <w:i w:val="0"/>
                <w:sz w:val="18"/>
              </w:rPr>
              <w:t>3.65×10⁻³⁰</w:t>
            </w:r>
          </w:p>
        </w:tc>
        <w:tc>
          <w:tcPr>
            <w:tcW w:type="dxa" w:w="1040"/>
          </w:tcPr>
          <w:p>
            <w:pPr>
              <w:spacing w:line="240" w:lineRule="auto" w:before="20" w:after="20"/>
            </w:pPr>
            <w:r/>
            <w:r>
              <w:rPr>
                <w:rFonts w:ascii="Times New Roman" w:hAnsi="Times New Roman"/>
                <w:b w:val="0"/>
                <w:i w:val="0"/>
                <w:sz w:val="18"/>
              </w:rPr>
              <w:t>−0.362 (0.34)</w:t>
            </w:r>
          </w:p>
        </w:tc>
        <w:tc>
          <w:tcPr>
            <w:tcW w:type="dxa" w:w="1040"/>
          </w:tcPr>
          <w:p>
            <w:pPr>
              <w:spacing w:line="240" w:lineRule="auto" w:before="20" w:after="20"/>
            </w:pPr>
            <w:r/>
            <w:r>
              <w:rPr>
                <w:rFonts w:ascii="Times New Roman" w:hAnsi="Times New Roman"/>
                <w:b w:val="0"/>
                <w:i w:val="0"/>
                <w:sz w:val="18"/>
              </w:rPr>
              <w:t>−0.233</w:t>
            </w:r>
          </w:p>
        </w:tc>
        <w:tc>
          <w:tcPr>
            <w:tcW w:type="dxa" w:w="1040"/>
          </w:tcPr>
          <w:p>
            <w:pPr>
              <w:spacing w:line="240" w:lineRule="auto" w:before="20" w:after="20"/>
            </w:pPr>
            <w:r/>
            <w:r>
              <w:rPr>
                <w:rFonts w:ascii="Times New Roman" w:hAnsi="Times New Roman"/>
                <w:b w:val="0"/>
                <w:i w:val="0"/>
                <w:sz w:val="18"/>
              </w:rPr>
              <w:t>242.5 (&lt;10⁻³⁰)</w:t>
            </w:r>
          </w:p>
        </w:tc>
        <w:tc>
          <w:tcPr>
            <w:tcW w:type="dxa" w:w="1040"/>
          </w:tcPr>
          <w:p>
            <w:pPr>
              <w:spacing w:line="240" w:lineRule="auto" w:before="20" w:after="20"/>
            </w:pPr>
            <w:r/>
            <w:r>
              <w:rPr>
                <w:rFonts w:ascii="Times New Roman" w:hAnsi="Times New Roman"/>
                <w:b w:val="0"/>
                <w:i w:val="0"/>
                <w:sz w:val="18"/>
              </w:rPr>
              <w:t>≈83.5%</w:t>
            </w:r>
          </w:p>
        </w:tc>
        <w:tc>
          <w:tcPr>
            <w:tcW w:type="dxa" w:w="1040"/>
          </w:tcPr>
          <w:p>
            <w:pPr>
              <w:spacing w:line="240" w:lineRule="auto" w:before="20" w:after="20"/>
            </w:pPr>
            <w:r/>
            <w:r>
              <w:rPr>
                <w:rFonts w:ascii="Times New Roman" w:hAnsi="Times New Roman"/>
                <w:b w:val="0"/>
                <w:i w:val="0"/>
                <w:sz w:val="18"/>
              </w:rPr>
              <w:t>[−0.386, −0.315]</w:t>
            </w:r>
          </w:p>
        </w:tc>
      </w:tr>
      <w:tr>
        <w:tc>
          <w:tcPr>
            <w:tcW w:type="dxa" w:w="1040"/>
          </w:tcPr>
          <w:p>
            <w:pPr>
              <w:spacing w:line="240" w:lineRule="auto" w:before="20" w:after="20"/>
            </w:pPr>
            <w:r/>
            <w:r>
              <w:rPr>
                <w:rFonts w:ascii="Times New Roman" w:hAnsi="Times New Roman"/>
                <w:b w:val="0"/>
                <w:i w:val="0"/>
                <w:sz w:val="18"/>
              </w:rPr>
              <w:t>All-cause dementia</w:t>
            </w:r>
          </w:p>
        </w:tc>
        <w:tc>
          <w:tcPr>
            <w:tcW w:type="dxa" w:w="1040"/>
          </w:tcPr>
          <w:p>
            <w:pPr>
              <w:spacing w:line="240" w:lineRule="auto" w:before="20" w:after="20"/>
            </w:pPr>
            <w:r/>
            <w:r>
              <w:rPr>
                <w:rFonts w:ascii="Times New Roman" w:hAnsi="Times New Roman"/>
                <w:b w:val="0"/>
                <w:i w:val="0"/>
                <w:sz w:val="18"/>
              </w:rPr>
              <w:t>43</w:t>
            </w:r>
          </w:p>
        </w:tc>
        <w:tc>
          <w:tcPr>
            <w:tcW w:type="dxa" w:w="1040"/>
          </w:tcPr>
          <w:p>
            <w:pPr>
              <w:spacing w:line="240" w:lineRule="auto" w:before="20" w:after="20"/>
            </w:pPr>
            <w:r/>
            <w:r>
              <w:rPr>
                <w:rFonts w:ascii="Times New Roman" w:hAnsi="Times New Roman"/>
                <w:b w:val="0"/>
                <w:i w:val="0"/>
                <w:sz w:val="18"/>
              </w:rPr>
              <w:t>0.234 (−0.185, 0.653)</w:t>
            </w:r>
          </w:p>
        </w:tc>
        <w:tc>
          <w:tcPr>
            <w:tcW w:type="dxa" w:w="1040"/>
          </w:tcPr>
          <w:p>
            <w:pPr>
              <w:spacing w:line="240" w:lineRule="auto" w:before="20" w:after="20"/>
            </w:pPr>
            <w:r/>
            <w:r>
              <w:rPr>
                <w:rFonts w:ascii="Times New Roman" w:hAnsi="Times New Roman"/>
                <w:b w:val="0"/>
                <w:i w:val="0"/>
                <w:sz w:val="18"/>
              </w:rPr>
              <w:t>0.27</w:t>
            </w:r>
          </w:p>
        </w:tc>
        <w:tc>
          <w:tcPr>
            <w:tcW w:type="dxa" w:w="1040"/>
          </w:tcPr>
          <w:p>
            <w:pPr>
              <w:spacing w:line="240" w:lineRule="auto" w:before="20" w:after="20"/>
            </w:pPr>
            <w:r/>
            <w:r>
              <w:rPr>
                <w:rFonts w:ascii="Times New Roman" w:hAnsi="Times New Roman"/>
                <w:b w:val="0"/>
                <w:i w:val="0"/>
                <w:sz w:val="18"/>
              </w:rPr>
              <w:t>0.209 (0.21)</w:t>
            </w:r>
          </w:p>
        </w:tc>
        <w:tc>
          <w:tcPr>
            <w:tcW w:type="dxa" w:w="1040"/>
          </w:tcPr>
          <w:p>
            <w:pPr>
              <w:spacing w:line="240" w:lineRule="auto" w:before="20" w:after="20"/>
            </w:pPr>
            <w:r/>
            <w:r>
              <w:rPr>
                <w:rFonts w:ascii="Times New Roman" w:hAnsi="Times New Roman"/>
                <w:b w:val="0"/>
                <w:i w:val="0"/>
                <w:sz w:val="18"/>
              </w:rPr>
              <w:t>0.220</w:t>
            </w:r>
          </w:p>
        </w:tc>
        <w:tc>
          <w:tcPr>
            <w:tcW w:type="dxa" w:w="1040"/>
          </w:tcPr>
          <w:p>
            <w:pPr>
              <w:spacing w:line="240" w:lineRule="auto" w:before="20" w:after="20"/>
            </w:pPr>
            <w:r/>
            <w:r>
              <w:rPr>
                <w:rFonts w:ascii="Times New Roman" w:hAnsi="Times New Roman"/>
                <w:b w:val="0"/>
                <w:i w:val="0"/>
                <w:sz w:val="18"/>
              </w:rPr>
              <w:t>38.9 (0.61)</w:t>
            </w:r>
          </w:p>
        </w:tc>
        <w:tc>
          <w:tcPr>
            <w:tcW w:type="dxa" w:w="1040"/>
          </w:tcPr>
          <w:p>
            <w:pPr>
              <w:spacing w:line="240" w:lineRule="auto" w:before="20" w:after="20"/>
            </w:pPr>
            <w:r/>
            <w:r>
              <w:rPr>
                <w:rFonts w:ascii="Times New Roman" w:hAnsi="Times New Roman"/>
                <w:b w:val="0"/>
                <w:i w:val="0"/>
                <w:sz w:val="18"/>
              </w:rPr>
              <w:t>≈0%</w:t>
            </w:r>
          </w:p>
        </w:tc>
        <w:tc>
          <w:tcPr>
            <w:tcW w:type="dxa" w:w="1040"/>
          </w:tcPr>
          <w:p>
            <w:pPr>
              <w:spacing w:line="240" w:lineRule="auto" w:before="20" w:after="20"/>
            </w:pPr>
            <w:r/>
            <w:r>
              <w:rPr>
                <w:rFonts w:ascii="Times New Roman" w:hAnsi="Times New Roman"/>
                <w:b w:val="0"/>
                <w:i w:val="0"/>
                <w:sz w:val="18"/>
              </w:rPr>
              <w:t>[0.163, 0.293]</w:t>
            </w:r>
          </w:p>
        </w:tc>
      </w:tr>
      <w:tr>
        <w:tc>
          <w:tcPr>
            <w:tcW w:type="dxa" w:w="1040"/>
          </w:tcPr>
          <w:p>
            <w:pPr>
              <w:spacing w:line="240" w:lineRule="auto" w:before="20" w:after="20"/>
            </w:pPr>
            <w:r/>
            <w:r>
              <w:rPr>
                <w:rFonts w:ascii="Times New Roman" w:hAnsi="Times New Roman"/>
                <w:b w:val="0"/>
                <w:i w:val="0"/>
                <w:sz w:val="18"/>
              </w:rPr>
              <w:t>AD — IGAP (ieu-a-297)</w:t>
            </w:r>
          </w:p>
        </w:tc>
        <w:tc>
          <w:tcPr>
            <w:tcW w:type="dxa" w:w="1040"/>
          </w:tcPr>
          <w:p>
            <w:pPr>
              <w:spacing w:line="240" w:lineRule="auto" w:before="20" w:after="20"/>
            </w:pPr>
            <w:r/>
            <w:r>
              <w:rPr>
                <w:rFonts w:ascii="Times New Roman" w:hAnsi="Times New Roman"/>
                <w:b w:val="0"/>
                <w:i w:val="0"/>
                <w:sz w:val="18"/>
              </w:rPr>
              <w:t>42</w:t>
            </w:r>
          </w:p>
        </w:tc>
        <w:tc>
          <w:tcPr>
            <w:tcW w:type="dxa" w:w="1040"/>
          </w:tcPr>
          <w:p>
            <w:pPr>
              <w:spacing w:line="240" w:lineRule="auto" w:before="20" w:after="20"/>
            </w:pPr>
            <w:r/>
            <w:r>
              <w:rPr>
                <w:rFonts w:ascii="Times New Roman" w:hAnsi="Times New Roman"/>
                <w:b/>
                <w:i w:val="0"/>
                <w:sz w:val="18"/>
              </w:rPr>
              <w:t>0.466 (0.123, 0.809)</w:t>
            </w:r>
          </w:p>
        </w:tc>
        <w:tc>
          <w:tcPr>
            <w:tcW w:type="dxa" w:w="1040"/>
          </w:tcPr>
          <w:p>
            <w:pPr>
              <w:spacing w:line="240" w:lineRule="auto" w:before="20" w:after="20"/>
            </w:pPr>
            <w:r/>
            <w:r>
              <w:rPr>
                <w:rFonts w:ascii="Times New Roman" w:hAnsi="Times New Roman"/>
                <w:b/>
                <w:i w:val="0"/>
                <w:sz w:val="18"/>
              </w:rPr>
              <w:t>0.008</w:t>
            </w:r>
          </w:p>
        </w:tc>
        <w:tc>
          <w:tcPr>
            <w:tcW w:type="dxa" w:w="1040"/>
          </w:tcPr>
          <w:p>
            <w:pPr>
              <w:spacing w:line="240" w:lineRule="auto" w:before="20" w:after="20"/>
            </w:pPr>
            <w:r/>
            <w:r>
              <w:rPr>
                <w:rFonts w:ascii="Times New Roman" w:hAnsi="Times New Roman"/>
                <w:b w:val="0"/>
                <w:i w:val="0"/>
                <w:sz w:val="18"/>
              </w:rPr>
              <w:t>0.462 (0.86)</w:t>
            </w:r>
          </w:p>
        </w:tc>
        <w:tc>
          <w:tcPr>
            <w:tcW w:type="dxa" w:w="1040"/>
          </w:tcPr>
          <w:p>
            <w:pPr>
              <w:spacing w:line="240" w:lineRule="auto" w:before="20" w:after="20"/>
            </w:pPr>
            <w:r/>
            <w:r>
              <w:rPr>
                <w:rFonts w:ascii="Times New Roman" w:hAnsi="Times New Roman"/>
                <w:b w:val="0"/>
                <w:i w:val="0"/>
                <w:sz w:val="18"/>
              </w:rPr>
              <w:t>0.227</w:t>
            </w:r>
          </w:p>
        </w:tc>
        <w:tc>
          <w:tcPr>
            <w:tcW w:type="dxa" w:w="1040"/>
          </w:tcPr>
          <w:p>
            <w:pPr>
              <w:spacing w:line="240" w:lineRule="auto" w:before="20" w:after="20"/>
            </w:pPr>
            <w:r/>
            <w:r>
              <w:rPr>
                <w:rFonts w:ascii="Times New Roman" w:hAnsi="Times New Roman"/>
                <w:b w:val="0"/>
                <w:i w:val="0"/>
                <w:sz w:val="18"/>
              </w:rPr>
              <w:t>48.8 (0.19)</w:t>
            </w:r>
          </w:p>
        </w:tc>
        <w:tc>
          <w:tcPr>
            <w:tcW w:type="dxa" w:w="1040"/>
          </w:tcPr>
          <w:p>
            <w:pPr>
              <w:spacing w:line="240" w:lineRule="auto" w:before="20" w:after="20"/>
            </w:pPr>
            <w:r/>
            <w:r>
              <w:rPr>
                <w:rFonts w:ascii="Times New Roman" w:hAnsi="Times New Roman"/>
                <w:b w:val="0"/>
                <w:i w:val="0"/>
                <w:sz w:val="18"/>
              </w:rPr>
              <w:t>≈16%</w:t>
            </w:r>
          </w:p>
        </w:tc>
        <w:tc>
          <w:tcPr>
            <w:tcW w:type="dxa" w:w="1040"/>
          </w:tcPr>
          <w:p>
            <w:pPr>
              <w:spacing w:line="240" w:lineRule="auto" w:before="20" w:after="20"/>
            </w:pPr>
            <w:r/>
            <w:r>
              <w:rPr>
                <w:rFonts w:ascii="Times New Roman" w:hAnsi="Times New Roman"/>
                <w:b w:val="0"/>
                <w:i w:val="0"/>
                <w:sz w:val="18"/>
              </w:rPr>
              <w:t>[0.393, 0.518]</w:t>
            </w:r>
          </w:p>
        </w:tc>
      </w:tr>
      <w:tr>
        <w:tc>
          <w:tcPr>
            <w:tcW w:type="dxa" w:w="1040"/>
          </w:tcPr>
          <w:p>
            <w:pPr>
              <w:spacing w:line="240" w:lineRule="auto" w:before="20" w:after="20"/>
            </w:pPr>
            <w:r/>
            <w:r>
              <w:rPr>
                <w:rFonts w:ascii="Times New Roman" w:hAnsi="Times New Roman"/>
                <w:b w:val="0"/>
                <w:i w:val="0"/>
                <w:sz w:val="18"/>
              </w:rPr>
              <w:t>AD — Ben Nevis</w:t>
            </w:r>
          </w:p>
        </w:tc>
        <w:tc>
          <w:tcPr>
            <w:tcW w:type="dxa" w:w="1040"/>
          </w:tcPr>
          <w:p>
            <w:pPr>
              <w:spacing w:line="240" w:lineRule="auto" w:before="20" w:after="20"/>
            </w:pPr>
            <w:r/>
            <w:r>
              <w:rPr>
                <w:rFonts w:ascii="Times New Roman" w:hAnsi="Times New Roman"/>
                <w:b w:val="0"/>
                <w:i w:val="0"/>
                <w:sz w:val="18"/>
              </w:rPr>
              <w:t>43</w:t>
            </w:r>
          </w:p>
        </w:tc>
        <w:tc>
          <w:tcPr>
            <w:tcW w:type="dxa" w:w="1040"/>
          </w:tcPr>
          <w:p>
            <w:pPr>
              <w:spacing w:line="240" w:lineRule="auto" w:before="20" w:after="20"/>
            </w:pPr>
            <w:r/>
            <w:r>
              <w:rPr>
                <w:rFonts w:ascii="Times New Roman" w:hAnsi="Times New Roman"/>
                <w:b w:val="0"/>
                <w:i w:val="0"/>
                <w:sz w:val="18"/>
              </w:rPr>
              <w:t>0.168 (−0.141, 0.477)</w:t>
            </w:r>
          </w:p>
        </w:tc>
        <w:tc>
          <w:tcPr>
            <w:tcW w:type="dxa" w:w="1040"/>
          </w:tcPr>
          <w:p>
            <w:pPr>
              <w:spacing w:line="240" w:lineRule="auto" w:before="20" w:after="20"/>
            </w:pPr>
            <w:r/>
            <w:r>
              <w:rPr>
                <w:rFonts w:ascii="Times New Roman" w:hAnsi="Times New Roman"/>
                <w:b w:val="0"/>
                <w:i w:val="0"/>
                <w:sz w:val="18"/>
              </w:rPr>
              <w:t>0.29</w:t>
            </w:r>
          </w:p>
        </w:tc>
        <w:tc>
          <w:tcPr>
            <w:tcW w:type="dxa" w:w="1040"/>
          </w:tcPr>
          <w:p>
            <w:pPr>
              <w:spacing w:line="240" w:lineRule="auto" w:before="20" w:after="20"/>
            </w:pPr>
            <w:r/>
            <w:r>
              <w:rPr>
                <w:rFonts w:ascii="Times New Roman" w:hAnsi="Times New Roman"/>
                <w:b w:val="0"/>
                <w:i w:val="0"/>
                <w:sz w:val="18"/>
              </w:rPr>
              <w:t>0.163 (0.78)</w:t>
            </w:r>
          </w:p>
        </w:tc>
        <w:tc>
          <w:tcPr>
            <w:tcW w:type="dxa" w:w="1040"/>
          </w:tcPr>
          <w:p>
            <w:pPr>
              <w:spacing w:line="240" w:lineRule="auto" w:before="20" w:after="20"/>
            </w:pPr>
            <w:r/>
            <w:r>
              <w:rPr>
                <w:rFonts w:ascii="Times New Roman" w:hAnsi="Times New Roman"/>
                <w:b w:val="0"/>
                <w:i w:val="0"/>
                <w:sz w:val="18"/>
              </w:rPr>
              <w:t>−0.017</w:t>
            </w:r>
          </w:p>
        </w:tc>
        <w:tc>
          <w:tcPr>
            <w:tcW w:type="dxa" w:w="1040"/>
          </w:tcPr>
          <w:p>
            <w:pPr>
              <w:spacing w:line="240" w:lineRule="auto" w:before="20" w:after="20"/>
            </w:pPr>
            <w:r/>
            <w:r>
              <w:rPr>
                <w:rFonts w:ascii="Times New Roman" w:hAnsi="Times New Roman"/>
                <w:b w:val="0"/>
                <w:i w:val="0"/>
                <w:sz w:val="18"/>
              </w:rPr>
              <w:t>51.8 (0.14)</w:t>
            </w:r>
          </w:p>
        </w:tc>
        <w:tc>
          <w:tcPr>
            <w:tcW w:type="dxa" w:w="1040"/>
          </w:tcPr>
          <w:p>
            <w:pPr>
              <w:spacing w:line="240" w:lineRule="auto" w:before="20" w:after="20"/>
            </w:pPr>
            <w:r/>
            <w:r>
              <w:rPr>
                <w:rFonts w:ascii="Times New Roman" w:hAnsi="Times New Roman"/>
                <w:b w:val="0"/>
                <w:i w:val="0"/>
                <w:sz w:val="18"/>
              </w:rPr>
              <w:t>≈19%</w:t>
            </w:r>
          </w:p>
        </w:tc>
        <w:tc>
          <w:tcPr>
            <w:tcW w:type="dxa" w:w="1040"/>
          </w:tcPr>
          <w:p>
            <w:pPr>
              <w:spacing w:line="240" w:lineRule="auto" w:before="20" w:after="20"/>
            </w:pPr>
            <w:r/>
            <w:r>
              <w:rPr>
                <w:rFonts w:ascii="Times New Roman" w:hAnsi="Times New Roman"/>
                <w:b w:val="0"/>
                <w:i w:val="0"/>
                <w:sz w:val="18"/>
              </w:rPr>
              <w:t>[0.112, 0.228]</w:t>
            </w:r>
          </w:p>
        </w:tc>
      </w:tr>
    </w:tbl>
    <w:p>
      <w:pPr>
        <w:spacing w:line="240" w:lineRule="auto" w:before="0" w:after="80"/>
      </w:pPr>
    </w:p>
    <w:p>
      <w:pPr>
        <w:spacing w:before="0" w:after="0"/>
      </w:pPr>
      <w:r>
        <w:rPr>
          <w:rFonts w:ascii="Times New Roman" w:hAnsi="Times New Roman"/>
          <w:b/>
          <w:i w:val="0"/>
        </w:rPr>
        <w:t>Figure 1</w:t>
      </w:r>
      <w:r>
        <w:rPr>
          <w:rFonts w:ascii="Times New Roman" w:hAnsi="Times New Roman"/>
          <w:b w:val="0"/>
          <w:i w:val="0"/>
        </w:rPr>
        <w:t xml:space="preserve"> (forest plot), </w:t>
      </w:r>
      <w:r>
        <w:rPr>
          <w:rFonts w:ascii="Times New Roman" w:hAnsi="Times New Roman"/>
          <w:b/>
          <w:i w:val="0"/>
        </w:rPr>
        <w:t>Figure 2</w:t>
      </w:r>
      <w:r>
        <w:rPr>
          <w:rFonts w:ascii="Times New Roman" w:hAnsi="Times New Roman"/>
          <w:b w:val="0"/>
          <w:i w:val="0"/>
        </w:rPr>
        <w:t xml:space="preserve"> (SNP scatter with MR and MR-Egger fit lines), </w:t>
      </w:r>
      <w:r>
        <w:rPr>
          <w:rFonts w:ascii="Times New Roman" w:hAnsi="Times New Roman"/>
          <w:b/>
          <w:i w:val="0"/>
        </w:rPr>
        <w:t>Figure 3</w:t>
      </w:r>
      <w:r>
        <w:rPr>
          <w:rFonts w:ascii="Times New Roman" w:hAnsi="Times New Roman"/>
          <w:b w:val="0"/>
          <w:i w:val="0"/>
        </w:rPr>
        <w:t xml:space="preserve"> (leave-one-out), and </w:t>
      </w:r>
      <w:r>
        <w:rPr>
          <w:rFonts w:ascii="Times New Roman" w:hAnsi="Times New Roman"/>
          <w:b/>
          <w:i w:val="0"/>
        </w:rPr>
        <w:t>Figure 4</w:t>
      </w:r>
      <w:r>
        <w:rPr>
          <w:rFonts w:ascii="Times New Roman" w:hAnsi="Times New Roman"/>
          <w:b w:val="0"/>
          <w:i w:val="0"/>
        </w:rPr>
        <w:t xml:space="preserve"> (Wald-ratio funnel) illustrate the cognition result. Genetically predicted MCP was robustly associated with </w:t>
      </w:r>
      <w:r>
        <w:rPr>
          <w:rFonts w:ascii="Times New Roman" w:hAnsi="Times New Roman"/>
          <w:b/>
          <w:i w:val="0"/>
        </w:rPr>
        <w:t>lower</w:t>
      </w:r>
      <w:r>
        <w:rPr>
          <w:rFonts w:ascii="Times New Roman" w:hAnsi="Times New Roman"/>
          <w:b w:val="0"/>
          <w:i w:val="0"/>
        </w:rPr>
        <w:t xml:space="preserve"> cognitive performance across IVW, Egger, and weighted median. The MR-Egger intercept was non-significant (p=0.34), indicating no detectable directional pleiotropy; leave-one-out estimates were stable (range −0.386 to −0.315). </w:t>
      </w:r>
      <w:r>
        <w:rPr>
          <w:rFonts w:ascii="Times New Roman" w:hAnsi="Times New Roman"/>
          <w:b/>
          <w:i w:val="0"/>
        </w:rPr>
        <w:t>Heterogeneity was high</w:t>
      </w:r>
      <w:r>
        <w:rPr>
          <w:rFonts w:ascii="Times New Roman" w:hAnsi="Times New Roman"/>
          <w:b w:val="0"/>
          <w:i w:val="0"/>
        </w:rPr>
        <w:t xml:space="preserve"> (Cochran Q=242.5, I²≈83.5%): the random-effects IVW estimate (β=−0.403, SE 0.075) is even more extreme than the fixed-effect point estimate, and the weighted-median estimate (−0.233) is materially smaller in magnitude — together suggesting that a single homogeneous causal effect is unlikely and that effect variation across SNPs is present. The </w:t>
      </w:r>
      <w:r>
        <w:rPr>
          <w:rFonts w:ascii="Times New Roman" w:hAnsi="Times New Roman"/>
          <w:b/>
          <w:i w:val="0"/>
        </w:rPr>
        <w:t>Steiger directionality test was non-significant (p=0.23)</w:t>
      </w:r>
      <w:r>
        <w:rPr>
          <w:rFonts w:ascii="Times New Roman" w:hAnsi="Times New Roman"/>
          <w:b w:val="0"/>
          <w:i w:val="0"/>
        </w:rPr>
        <w:t xml:space="preserve"> and therefore did </w:t>
      </w:r>
      <w:r>
        <w:rPr>
          <w:rFonts w:ascii="Times New Roman" w:hAnsi="Times New Roman"/>
          <w:b w:val="0"/>
          <w:i/>
        </w:rPr>
        <w:t>not</w:t>
      </w:r>
      <w:r>
        <w:rPr>
          <w:rFonts w:ascii="Times New Roman" w:hAnsi="Times New Roman"/>
          <w:b w:val="0"/>
          <w:i w:val="0"/>
        </w:rPr>
        <w:t xml:space="preserve"> establish MCP→cognition as the dominant causal direction. The dementia/AD signal was </w:t>
      </w:r>
      <w:r>
        <w:rPr>
          <w:rFonts w:ascii="Times New Roman" w:hAnsi="Times New Roman"/>
          <w:b/>
          <w:i w:val="0"/>
        </w:rPr>
        <w:t>inconsistent</w:t>
      </w:r>
      <w:r>
        <w:rPr>
          <w:rFonts w:ascii="Times New Roman" w:hAnsi="Times New Roman"/>
          <w:b w:val="0"/>
          <w:i w:val="0"/>
        </w:rPr>
        <w:t>: all-cause dementia null, IGAP AD positive, Ben Nevis AD null.</w:t>
      </w:r>
    </w:p>
    <w:p>
      <w:pPr>
        <w:spacing w:before="160" w:after="80"/>
      </w:pPr>
      <w:r>
        <w:rPr>
          <w:rFonts w:ascii="Times New Roman" w:hAnsi="Times New Roman"/>
          <w:b/>
          <w:i w:val="0"/>
          <w:sz w:val="24"/>
        </w:rPr>
        <w:t>3.1.1 Non-UKB overlap-robustness re-interpretation (of §3.1 estimates)</w:t>
      </w:r>
    </w:p>
    <w:p>
      <w:pPr>
        <w:spacing w:before="0" w:after="0"/>
      </w:pPr>
      <w:r>
        <w:rPr>
          <w:rFonts w:ascii="Times New Roman" w:hAnsi="Times New Roman"/>
          <w:b w:val="0"/>
          <w:i w:val="0"/>
        </w:rPr>
        <w:t xml:space="preserve">The primary cognitive-performance result is constrained by UKB sample overlap with the MCP exposure (§2.2, Limitation 4). To examine whether the pain→cognitive-decline signal survives removal of this overlap, we re-framed the two </w:t>
      </w:r>
      <w:r>
        <w:rPr>
          <w:rFonts w:ascii="Times New Roman" w:hAnsi="Times New Roman"/>
          <w:b/>
          <w:i w:val="0"/>
        </w:rPr>
        <w:t>non-UKB</w:t>
      </w:r>
      <w:r>
        <w:rPr>
          <w:rFonts w:ascii="Times New Roman" w:hAnsi="Times New Roman"/>
          <w:b w:val="0"/>
          <w:i w:val="0"/>
        </w:rPr>
        <w:t xml:space="preserve"> disease outcomes — all-cause dementia (FinnGen, a Finnish national biobank; </w:t>
      </w:r>
      <w:r>
        <w:rPr>
          <w:rFonts w:ascii="Courier New" w:hAnsi="Courier New"/>
          <w:b w:val="0"/>
          <w:i w:val="0"/>
        </w:rPr>
        <w:t>finn-b-F5_DEMENTIA</w:t>
      </w:r>
      <w:r>
        <w:rPr>
          <w:rFonts w:ascii="Times New Roman" w:hAnsi="Times New Roman"/>
          <w:b w:val="0"/>
          <w:i w:val="0"/>
        </w:rPr>
        <w:t xml:space="preserve">) and Alzheimer's disease (IGAP 2013 consortium [3]; </w:t>
      </w:r>
      <w:r>
        <w:rPr>
          <w:rFonts w:ascii="Courier New" w:hAnsi="Courier New"/>
          <w:b w:val="0"/>
          <w:i w:val="0"/>
        </w:rPr>
        <w:t>ieu-a-297</w:t>
      </w:r>
      <w:r>
        <w:rPr>
          <w:rFonts w:ascii="Times New Roman" w:hAnsi="Times New Roman"/>
          <w:b w:val="0"/>
          <w:i w:val="0"/>
        </w:rPr>
        <w:t xml:space="preserve">, n=54,162) — as an </w:t>
      </w:r>
      <w:r>
        <w:rPr>
          <w:rFonts w:ascii="Times New Roman" w:hAnsi="Times New Roman"/>
          <w:b/>
          <w:i w:val="0"/>
        </w:rPr>
        <w:t>overlap-robustness re-interpretation</w:t>
      </w:r>
      <w:r>
        <w:rPr>
          <w:rFonts w:ascii="Times New Roman" w:hAnsi="Times New Roman"/>
          <w:b w:val="0"/>
          <w:i w:val="0"/>
        </w:rPr>
        <w:t xml:space="preserve"> of the forward estimates reported in §3.1 (Figure 5). </w:t>
      </w:r>
      <w:r>
        <w:rPr>
          <w:rFonts w:ascii="Times New Roman" w:hAnsi="Times New Roman"/>
          <w:b w:val="0"/>
          <w:i/>
        </w:rPr>
        <w:t>These estimates are numerically identical to those in §3.1 (All-cause dementia and AD — IGAP); no new instruments, harmonization, or data were introduced — only a different framing that removes the UKB overlap concern.</w:t>
      </w:r>
      <w:r>
        <w:rPr>
          <w:rFonts w:ascii="Times New Roman" w:hAnsi="Times New Roman"/>
          <w:b w:val="0"/>
          <w:i w:val="0"/>
        </w:rPr>
        <w:t xml:space="preserve"> Neither outcome shares UKB samples with the MCP exposure (FinnGen is Finnish; IGAP is an international case–control consortium), so direct sample overlap is largely absent — a cleaner test of the overlap concern than the UKB cognitive-performance outcome.</w:t>
      </w:r>
    </w:p>
    <w:tbl>
      <w:tblPr>
        <w:tblStyle w:val="TableGrid"/>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rPr>
          <w:tblHeader/>
        </w:trPr>
        <w:tc>
          <w:tcPr>
            <w:tcW w:type="dxa" w:w="1170"/>
          </w:tcPr>
          <w:p>
            <w:pPr>
              <w:spacing w:line="240" w:lineRule="auto" w:before="20" w:after="20"/>
            </w:pPr>
            <w:r/>
            <w:r>
              <w:rPr>
                <w:rFonts w:ascii="Times New Roman" w:hAnsi="Times New Roman"/>
                <w:b/>
                <w:i w:val="0"/>
                <w:sz w:val="18"/>
              </w:rPr>
              <w:t>Outcome (GWAS; overlap status)</w:t>
            </w:r>
          </w:p>
        </w:tc>
        <w:tc>
          <w:tcPr>
            <w:tcW w:type="dxa" w:w="1170"/>
          </w:tcPr>
          <w:p>
            <w:pPr>
              <w:spacing w:line="240" w:lineRule="auto" w:before="20" w:after="20"/>
            </w:pPr>
            <w:r/>
            <w:r>
              <w:rPr>
                <w:rFonts w:ascii="Times New Roman" w:hAnsi="Times New Roman"/>
                <w:b/>
                <w:i w:val="0"/>
                <w:sz w:val="18"/>
              </w:rPr>
              <w:t>n SNP</w:t>
            </w:r>
          </w:p>
        </w:tc>
        <w:tc>
          <w:tcPr>
            <w:tcW w:type="dxa" w:w="1170"/>
          </w:tcPr>
          <w:p>
            <w:pPr>
              <w:spacing w:line="240" w:lineRule="auto" w:before="20" w:after="20"/>
            </w:pPr>
            <w:r/>
            <w:r>
              <w:rPr>
                <w:rFonts w:ascii="Times New Roman" w:hAnsi="Times New Roman"/>
                <w:b/>
                <w:i w:val="0"/>
                <w:sz w:val="18"/>
              </w:rPr>
              <w:t>IVW β (95% CI)</w:t>
            </w:r>
          </w:p>
        </w:tc>
        <w:tc>
          <w:tcPr>
            <w:tcW w:type="dxa" w:w="1170"/>
          </w:tcPr>
          <w:p>
            <w:pPr>
              <w:spacing w:line="240" w:lineRule="auto" w:before="20" w:after="20"/>
            </w:pPr>
            <w:r/>
            <w:r>
              <w:rPr>
                <w:rFonts w:ascii="Times New Roman" w:hAnsi="Times New Roman"/>
                <w:b/>
                <w:i w:val="0"/>
                <w:sz w:val="18"/>
              </w:rPr>
              <w:t>p</w:t>
            </w:r>
          </w:p>
        </w:tc>
        <w:tc>
          <w:tcPr>
            <w:tcW w:type="dxa" w:w="1170"/>
          </w:tcPr>
          <w:p>
            <w:pPr>
              <w:spacing w:line="240" w:lineRule="auto" w:before="20" w:after="20"/>
            </w:pPr>
            <w:r/>
            <w:r>
              <w:rPr>
                <w:rFonts w:ascii="Times New Roman" w:hAnsi="Times New Roman"/>
                <w:b/>
                <w:i w:val="0"/>
                <w:sz w:val="18"/>
              </w:rPr>
              <w:t>Egger β (int p)</w:t>
            </w:r>
          </w:p>
        </w:tc>
        <w:tc>
          <w:tcPr>
            <w:tcW w:type="dxa" w:w="1170"/>
          </w:tcPr>
          <w:p>
            <w:pPr>
              <w:spacing w:line="240" w:lineRule="auto" w:before="20" w:after="20"/>
            </w:pPr>
            <w:r/>
            <w:r>
              <w:rPr>
                <w:rFonts w:ascii="Times New Roman" w:hAnsi="Times New Roman"/>
                <w:b/>
                <w:i w:val="0"/>
                <w:sz w:val="18"/>
              </w:rPr>
              <w:t>WMed β</w:t>
            </w:r>
          </w:p>
        </w:tc>
        <w:tc>
          <w:tcPr>
            <w:tcW w:type="dxa" w:w="1170"/>
          </w:tcPr>
          <w:p>
            <w:pPr>
              <w:spacing w:line="240" w:lineRule="auto" w:before="20" w:after="20"/>
            </w:pPr>
            <w:r/>
            <w:r>
              <w:rPr>
                <w:rFonts w:ascii="Times New Roman" w:hAnsi="Times New Roman"/>
                <w:b/>
                <w:i w:val="0"/>
                <w:sz w:val="18"/>
              </w:rPr>
              <w:t>I²</w:t>
            </w:r>
          </w:p>
        </w:tc>
        <w:tc>
          <w:tcPr>
            <w:tcW w:type="dxa" w:w="1170"/>
          </w:tcPr>
          <w:p>
            <w:pPr>
              <w:spacing w:line="240" w:lineRule="auto" w:before="20" w:after="20"/>
            </w:pPr>
            <w:r/>
            <w:r>
              <w:rPr>
                <w:rFonts w:ascii="Times New Roman" w:hAnsi="Times New Roman"/>
                <w:b/>
                <w:i w:val="0"/>
                <w:sz w:val="18"/>
              </w:rPr>
              <w:t>Direction vs UKB cognition</w:t>
            </w:r>
          </w:p>
        </w:tc>
      </w:tr>
      <w:tr>
        <w:tc>
          <w:tcPr>
            <w:tcW w:type="dxa" w:w="1170"/>
          </w:tcPr>
          <w:p>
            <w:pPr>
              <w:spacing w:line="240" w:lineRule="auto" w:before="20" w:after="20"/>
            </w:pPr>
            <w:r/>
            <w:r>
              <w:rPr>
                <w:rFonts w:ascii="Times New Roman" w:hAnsi="Times New Roman"/>
                <w:b w:val="0"/>
                <w:i w:val="0"/>
                <w:sz w:val="18"/>
              </w:rPr>
              <w:t xml:space="preserve">All-cause dementia (FinnGen; </w:t>
            </w:r>
            <w:r>
              <w:rPr>
                <w:rFonts w:ascii="Times New Roman" w:hAnsi="Times New Roman"/>
                <w:b/>
                <w:i w:val="0"/>
                <w:sz w:val="18"/>
              </w:rPr>
              <w:t>non-UKB</w:t>
            </w:r>
            <w:r>
              <w:rPr>
                <w:rFonts w:ascii="Times New Roman" w:hAnsi="Times New Roman"/>
                <w:b w:val="0"/>
                <w:i w:val="0"/>
                <w:sz w:val="18"/>
              </w:rPr>
              <w:t>)</w:t>
            </w:r>
          </w:p>
        </w:tc>
        <w:tc>
          <w:tcPr>
            <w:tcW w:type="dxa" w:w="1170"/>
          </w:tcPr>
          <w:p>
            <w:pPr>
              <w:spacing w:line="240" w:lineRule="auto" w:before="20" w:after="20"/>
            </w:pPr>
            <w:r/>
            <w:r>
              <w:rPr>
                <w:rFonts w:ascii="Times New Roman" w:hAnsi="Times New Roman"/>
                <w:b w:val="0"/>
                <w:i w:val="0"/>
                <w:sz w:val="18"/>
              </w:rPr>
              <w:t>43</w:t>
            </w:r>
          </w:p>
        </w:tc>
        <w:tc>
          <w:tcPr>
            <w:tcW w:type="dxa" w:w="1170"/>
          </w:tcPr>
          <w:p>
            <w:pPr>
              <w:spacing w:line="240" w:lineRule="auto" w:before="20" w:after="20"/>
            </w:pPr>
            <w:r/>
            <w:r>
              <w:rPr>
                <w:rFonts w:ascii="Times New Roman" w:hAnsi="Times New Roman"/>
                <w:b w:val="0"/>
                <w:i w:val="0"/>
                <w:sz w:val="18"/>
              </w:rPr>
              <w:t>0.234 (−0.185, 0.653)</w:t>
            </w:r>
          </w:p>
        </w:tc>
        <w:tc>
          <w:tcPr>
            <w:tcW w:type="dxa" w:w="1170"/>
          </w:tcPr>
          <w:p>
            <w:pPr>
              <w:spacing w:line="240" w:lineRule="auto" w:before="20" w:after="20"/>
            </w:pPr>
            <w:r/>
            <w:r>
              <w:rPr>
                <w:rFonts w:ascii="Times New Roman" w:hAnsi="Times New Roman"/>
                <w:b w:val="0"/>
                <w:i w:val="0"/>
                <w:sz w:val="18"/>
              </w:rPr>
              <w:t>0.27</w:t>
            </w:r>
          </w:p>
        </w:tc>
        <w:tc>
          <w:tcPr>
            <w:tcW w:type="dxa" w:w="1170"/>
          </w:tcPr>
          <w:p>
            <w:pPr>
              <w:spacing w:line="240" w:lineRule="auto" w:before="20" w:after="20"/>
            </w:pPr>
            <w:r/>
            <w:r>
              <w:rPr>
                <w:rFonts w:ascii="Times New Roman" w:hAnsi="Times New Roman"/>
                <w:b w:val="0"/>
                <w:i w:val="0"/>
                <w:sz w:val="18"/>
              </w:rPr>
              <w:t>0.209 (0.21)</w:t>
            </w:r>
          </w:p>
        </w:tc>
        <w:tc>
          <w:tcPr>
            <w:tcW w:type="dxa" w:w="1170"/>
          </w:tcPr>
          <w:p>
            <w:pPr>
              <w:spacing w:line="240" w:lineRule="auto" w:before="20" w:after="20"/>
            </w:pPr>
            <w:r/>
            <w:r>
              <w:rPr>
                <w:rFonts w:ascii="Times New Roman" w:hAnsi="Times New Roman"/>
                <w:b w:val="0"/>
                <w:i w:val="0"/>
                <w:sz w:val="18"/>
              </w:rPr>
              <w:t>0.220</w:t>
            </w:r>
          </w:p>
        </w:tc>
        <w:tc>
          <w:tcPr>
            <w:tcW w:type="dxa" w:w="1170"/>
          </w:tcPr>
          <w:p>
            <w:pPr>
              <w:spacing w:line="240" w:lineRule="auto" w:before="20" w:after="20"/>
            </w:pPr>
            <w:r/>
            <w:r>
              <w:rPr>
                <w:rFonts w:ascii="Times New Roman" w:hAnsi="Times New Roman"/>
                <w:b w:val="0"/>
                <w:i w:val="0"/>
                <w:sz w:val="18"/>
              </w:rPr>
              <w:t>≈0%</w:t>
            </w:r>
          </w:p>
        </w:tc>
        <w:tc>
          <w:tcPr>
            <w:tcW w:type="dxa" w:w="1170"/>
          </w:tcPr>
          <w:p>
            <w:pPr>
              <w:spacing w:line="240" w:lineRule="auto" w:before="20" w:after="20"/>
            </w:pPr>
            <w:r/>
            <w:r>
              <w:rPr>
                <w:rFonts w:ascii="Times New Roman" w:hAnsi="Times New Roman"/>
                <w:b w:val="0"/>
                <w:i w:val="0"/>
                <w:sz w:val="18"/>
              </w:rPr>
              <w:t>same (↑ risk)</w:t>
            </w:r>
          </w:p>
        </w:tc>
      </w:tr>
      <w:tr>
        <w:tc>
          <w:tcPr>
            <w:tcW w:type="dxa" w:w="1170"/>
          </w:tcPr>
          <w:p>
            <w:pPr>
              <w:spacing w:line="240" w:lineRule="auto" w:before="20" w:after="20"/>
            </w:pPr>
            <w:r/>
            <w:r>
              <w:rPr>
                <w:rFonts w:ascii="Times New Roman" w:hAnsi="Times New Roman"/>
                <w:b w:val="0"/>
                <w:i w:val="0"/>
                <w:sz w:val="18"/>
              </w:rPr>
              <w:t xml:space="preserve">AD (IGAP </w:t>
            </w:r>
            <w:r>
              <w:rPr>
                <w:rFonts w:ascii="Courier New" w:hAnsi="Courier New"/>
                <w:b w:val="0"/>
                <w:i w:val="0"/>
                <w:sz w:val="18"/>
              </w:rPr>
              <w:t>ieu-a-297</w:t>
            </w:r>
            <w:r>
              <w:rPr>
                <w:rFonts w:ascii="Times New Roman" w:hAnsi="Times New Roman"/>
                <w:b w:val="0"/>
                <w:i w:val="0"/>
                <w:sz w:val="18"/>
              </w:rPr>
              <w:t xml:space="preserve">; </w:t>
            </w:r>
            <w:r>
              <w:rPr>
                <w:rFonts w:ascii="Times New Roman" w:hAnsi="Times New Roman"/>
                <w:b/>
                <w:i w:val="0"/>
                <w:sz w:val="18"/>
              </w:rPr>
              <w:t>non-UKB</w:t>
            </w:r>
            <w:r>
              <w:rPr>
                <w:rFonts w:ascii="Times New Roman" w:hAnsi="Times New Roman"/>
                <w:b w:val="0"/>
                <w:i w:val="0"/>
                <w:sz w:val="18"/>
              </w:rPr>
              <w:t>)</w:t>
            </w:r>
          </w:p>
        </w:tc>
        <w:tc>
          <w:tcPr>
            <w:tcW w:type="dxa" w:w="1170"/>
          </w:tcPr>
          <w:p>
            <w:pPr>
              <w:spacing w:line="240" w:lineRule="auto" w:before="20" w:after="20"/>
            </w:pPr>
            <w:r/>
            <w:r>
              <w:rPr>
                <w:rFonts w:ascii="Times New Roman" w:hAnsi="Times New Roman"/>
                <w:b w:val="0"/>
                <w:i w:val="0"/>
                <w:sz w:val="18"/>
              </w:rPr>
              <w:t>42</w:t>
            </w:r>
          </w:p>
        </w:tc>
        <w:tc>
          <w:tcPr>
            <w:tcW w:type="dxa" w:w="1170"/>
          </w:tcPr>
          <w:p>
            <w:pPr>
              <w:spacing w:line="240" w:lineRule="auto" w:before="20" w:after="20"/>
            </w:pPr>
            <w:r/>
            <w:r>
              <w:rPr>
                <w:rFonts w:ascii="Times New Roman" w:hAnsi="Times New Roman"/>
                <w:b/>
                <w:i w:val="0"/>
                <w:sz w:val="18"/>
              </w:rPr>
              <w:t>0.466 (0.123, 0.809)</w:t>
            </w:r>
          </w:p>
        </w:tc>
        <w:tc>
          <w:tcPr>
            <w:tcW w:type="dxa" w:w="1170"/>
          </w:tcPr>
          <w:p>
            <w:pPr>
              <w:spacing w:line="240" w:lineRule="auto" w:before="20" w:after="20"/>
            </w:pPr>
            <w:r/>
            <w:r>
              <w:rPr>
                <w:rFonts w:ascii="Times New Roman" w:hAnsi="Times New Roman"/>
                <w:b/>
                <w:i w:val="0"/>
                <w:sz w:val="18"/>
              </w:rPr>
              <w:t>0.008</w:t>
            </w:r>
          </w:p>
        </w:tc>
        <w:tc>
          <w:tcPr>
            <w:tcW w:type="dxa" w:w="1170"/>
          </w:tcPr>
          <w:p>
            <w:pPr>
              <w:spacing w:line="240" w:lineRule="auto" w:before="20" w:after="20"/>
            </w:pPr>
            <w:r/>
            <w:r>
              <w:rPr>
                <w:rFonts w:ascii="Times New Roman" w:hAnsi="Times New Roman"/>
                <w:b w:val="0"/>
                <w:i w:val="0"/>
                <w:sz w:val="18"/>
              </w:rPr>
              <w:t>0.462 (0.86)</w:t>
            </w:r>
          </w:p>
        </w:tc>
        <w:tc>
          <w:tcPr>
            <w:tcW w:type="dxa" w:w="1170"/>
          </w:tcPr>
          <w:p>
            <w:pPr>
              <w:spacing w:line="240" w:lineRule="auto" w:before="20" w:after="20"/>
            </w:pPr>
            <w:r/>
            <w:r>
              <w:rPr>
                <w:rFonts w:ascii="Times New Roman" w:hAnsi="Times New Roman"/>
                <w:b w:val="0"/>
                <w:i w:val="0"/>
                <w:sz w:val="18"/>
              </w:rPr>
              <w:t>0.227</w:t>
            </w:r>
          </w:p>
        </w:tc>
        <w:tc>
          <w:tcPr>
            <w:tcW w:type="dxa" w:w="1170"/>
          </w:tcPr>
          <w:p>
            <w:pPr>
              <w:spacing w:line="240" w:lineRule="auto" w:before="20" w:after="20"/>
            </w:pPr>
            <w:r/>
            <w:r>
              <w:rPr>
                <w:rFonts w:ascii="Times New Roman" w:hAnsi="Times New Roman"/>
                <w:b w:val="0"/>
                <w:i w:val="0"/>
                <w:sz w:val="18"/>
              </w:rPr>
              <w:t>≈16%</w:t>
            </w:r>
          </w:p>
        </w:tc>
        <w:tc>
          <w:tcPr>
            <w:tcW w:type="dxa" w:w="1170"/>
          </w:tcPr>
          <w:p>
            <w:pPr>
              <w:spacing w:line="240" w:lineRule="auto" w:before="20" w:after="20"/>
            </w:pPr>
            <w:r/>
            <w:r>
              <w:rPr>
                <w:rFonts w:ascii="Times New Roman" w:hAnsi="Times New Roman"/>
                <w:b w:val="0"/>
                <w:i w:val="0"/>
                <w:sz w:val="18"/>
              </w:rPr>
              <w:t>same (↑ risk)</w:t>
            </w:r>
          </w:p>
        </w:tc>
      </w:tr>
    </w:tbl>
    <w:p>
      <w:pPr>
        <w:spacing w:line="240" w:lineRule="auto" w:before="0" w:after="80"/>
      </w:pPr>
    </w:p>
    <w:p>
      <w:pPr>
        <w:spacing w:before="0" w:after="0"/>
      </w:pPr>
      <w:r>
        <w:rPr>
          <w:rFonts w:ascii="Times New Roman" w:hAnsi="Times New Roman"/>
          <w:b w:val="0"/>
          <w:i w:val="0"/>
        </w:rPr>
        <w:t xml:space="preserve">Both non-UKB outcomes pointed in the </w:t>
      </w:r>
      <w:r>
        <w:rPr>
          <w:rFonts w:ascii="Times New Roman" w:hAnsi="Times New Roman"/>
          <w:b/>
          <w:i w:val="0"/>
        </w:rPr>
        <w:t>same direction</w:t>
      </w:r>
      <w:r>
        <w:rPr>
          <w:rFonts w:ascii="Times New Roman" w:hAnsi="Times New Roman"/>
          <w:b w:val="0"/>
          <w:i w:val="0"/>
        </w:rPr>
        <w:t xml:space="preserve"> as the UKB cognitive-performance result: genetically predicted MCP associated with </w:t>
      </w:r>
      <w:r>
        <w:rPr>
          <w:rFonts w:ascii="Times New Roman" w:hAnsi="Times New Roman"/>
          <w:b w:val="0"/>
          <w:i/>
        </w:rPr>
        <w:t>lower</w:t>
      </w:r>
      <w:r>
        <w:rPr>
          <w:rFonts w:ascii="Times New Roman" w:hAnsi="Times New Roman"/>
          <w:b w:val="0"/>
          <w:i w:val="0"/>
        </w:rPr>
        <w:t xml:space="preserve"> cognitive performance and </w:t>
      </w:r>
      <w:r>
        <w:rPr>
          <w:rFonts w:ascii="Times New Roman" w:hAnsi="Times New Roman"/>
          <w:b w:val="0"/>
          <w:i/>
        </w:rPr>
        <w:t>higher</w:t>
      </w:r>
      <w:r>
        <w:rPr>
          <w:rFonts w:ascii="Times New Roman" w:hAnsi="Times New Roman"/>
          <w:b w:val="0"/>
          <w:i w:val="0"/>
        </w:rPr>
        <w:t xml:space="preserve"> dementia/AD risk. The IGAP AD estimate was </w:t>
      </w:r>
      <w:r>
        <w:rPr>
          <w:rFonts w:ascii="Times New Roman" w:hAnsi="Times New Roman"/>
          <w:b/>
          <w:i w:val="0"/>
        </w:rPr>
        <w:t>significant</w:t>
      </w:r>
      <w:r>
        <w:rPr>
          <w:rFonts w:ascii="Times New Roman" w:hAnsi="Times New Roman"/>
          <w:b w:val="0"/>
          <w:i w:val="0"/>
        </w:rPr>
        <w:t xml:space="preserve"> (β=0.466, 95% CI 0.123–0.809, p=0.008) with no detectable directional pleiotropy (Egger intercept p=0.86), low heterogeneity (I²≈16%), and stable leave-one-out estimates. All-cause dementia was non-significant (β=0.234, p=0.27), most plausibly reflecting the lower power of a binary trait with a smaller effective case sample rather than a true null. </w:t>
      </w:r>
      <w:r>
        <w:rPr>
          <w:rFonts w:ascii="Times New Roman" w:hAnsi="Times New Roman"/>
          <w:b/>
          <w:i w:val="0"/>
        </w:rPr>
        <w:t>Taken together, the non-UKB overlap-robustness re-interpretation corroborates the UKB cognitive-performance finding using an overlap-free dataset</w:t>
      </w:r>
      <w:r>
        <w:rPr>
          <w:rFonts w:ascii="Times New Roman" w:hAnsi="Times New Roman"/>
          <w:b w:val="0"/>
          <w:i w:val="0"/>
        </w:rPr>
        <w:t xml:space="preserve"> (the same §3.1 FinnGen/IGAP estimates, here re-framed), whereas the UKB result itself remains formally hypothesis-generating because its overlap cannot be excluded from summary statistics alone. (Reproducible from </w:t>
      </w:r>
      <w:r>
        <w:rPr>
          <w:rFonts w:ascii="Courier New" w:hAnsi="Courier New"/>
          <w:b w:val="0"/>
          <w:i w:val="0"/>
        </w:rPr>
        <w:t>data/derived/mr_nonukb_sensitivity_results.csv</w:t>
      </w:r>
      <w:r>
        <w:rPr>
          <w:rFonts w:ascii="Times New Roman" w:hAnsi="Times New Roman"/>
          <w:b w:val="0"/>
          <w:i w:val="0"/>
        </w:rPr>
        <w:t>; estimates identical to §3.1; see Figure 5.)</w:t>
      </w:r>
    </w:p>
    <w:p>
      <w:pPr>
        <w:spacing w:before="160" w:after="80"/>
      </w:pPr>
      <w:r>
        <w:rPr>
          <w:rFonts w:ascii="Times New Roman" w:hAnsi="Times New Roman"/>
          <w:b/>
          <w:i w:val="0"/>
          <w:sz w:val="24"/>
        </w:rPr>
        <w:t>3.2 Reverse MR — cognition → MCP</w:t>
      </w:r>
    </w:p>
    <w:p>
      <w:pPr>
        <w:spacing w:before="0" w:after="0"/>
      </w:pPr>
      <w:r>
        <w:rPr>
          <w:rFonts w:ascii="Times New Roman" w:hAnsi="Times New Roman"/>
          <w:b w:val="0"/>
          <w:i w:val="0"/>
        </w:rPr>
        <w:t>IVW β=</w:t>
      </w:r>
      <w:r>
        <w:rPr>
          <w:rFonts w:ascii="Times New Roman" w:hAnsi="Times New Roman"/>
          <w:b/>
          <w:i w:val="0"/>
        </w:rPr>
        <w:t>−0.171</w:t>
      </w:r>
      <w:r>
        <w:rPr>
          <w:rFonts w:ascii="Times New Roman" w:hAnsi="Times New Roman"/>
          <w:b w:val="0"/>
          <w:i w:val="0"/>
        </w:rPr>
        <w:t xml:space="preserve"> (95% CI −0.193 to −0.150, p=8.85×10⁻⁵⁸; Egger β=−0.172, intercept p=0.14; weighted median −0.121; Cochran Q=474.8, p&lt;10⁻³⁶). </w:t>
      </w:r>
      <w:r>
        <w:rPr>
          <w:rFonts w:ascii="Times New Roman" w:hAnsi="Times New Roman"/>
          <w:b/>
          <w:i w:val="0"/>
        </w:rPr>
        <w:t>Both directions were significant.</w:t>
      </w:r>
      <w:r>
        <w:rPr>
          <w:rFonts w:ascii="Times New Roman" w:hAnsi="Times New Roman"/>
          <w:b w:val="0"/>
          <w:i w:val="0"/>
        </w:rPr>
        <w:t xml:space="preserve"> However, the reverse direction (cognition→MCP) uses the same UKB-derived cognitive-performance GWAS as its exposure and the UKB MCP GWAS as its outcome, so it is affected by UKB sample overlap at least as heavily as the forward direction. The bidirectional significance therefore </w:t>
      </w:r>
      <w:r>
        <w:rPr>
          <w:rFonts w:ascii="Times New Roman" w:hAnsi="Times New Roman"/>
          <w:b/>
          <w:i w:val="0"/>
        </w:rPr>
        <w:t>cannot by itself</w:t>
      </w:r>
      <w:r>
        <w:rPr>
          <w:rFonts w:ascii="Times New Roman" w:hAnsi="Times New Roman"/>
          <w:b w:val="0"/>
          <w:i w:val="0"/>
        </w:rPr>
        <w:t xml:space="preserve"> establish reciprocal causal effects or shared genetic architecture — it may partly reflect the common UKB overlap affecting both directions; a non-overlapping reverse analysis is still lacking. A clean one-way causal arrow cannot be asserted on the basis of bidirectional significance alone.</w:t>
      </w:r>
    </w:p>
    <w:p>
      <w:pPr>
        <w:spacing w:before="160" w:after="80"/>
      </w:pPr>
      <w:r>
        <w:rPr>
          <w:rFonts w:ascii="Times New Roman" w:hAnsi="Times New Roman"/>
          <w:b/>
          <w:i w:val="0"/>
          <w:sz w:val="24"/>
        </w:rPr>
        <w:t>3.3 Two-step mediation MR</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rPr>
          <w:tblHeader/>
        </w:trPr>
        <w:tc>
          <w:tcPr>
            <w:tcW w:type="dxa" w:w="1872"/>
          </w:tcPr>
          <w:p>
            <w:pPr>
              <w:spacing w:line="240" w:lineRule="auto" w:before="20" w:after="20"/>
            </w:pPr>
            <w:r/>
            <w:r>
              <w:rPr>
                <w:rFonts w:ascii="Times New Roman" w:hAnsi="Times New Roman"/>
                <w:b/>
                <w:i w:val="0"/>
                <w:sz w:val="18"/>
              </w:rPr>
              <w:t>Mediator</w:t>
            </w:r>
          </w:p>
        </w:tc>
        <w:tc>
          <w:tcPr>
            <w:tcW w:type="dxa" w:w="1872"/>
          </w:tcPr>
          <w:p>
            <w:pPr>
              <w:spacing w:line="240" w:lineRule="auto" w:before="20" w:after="20"/>
            </w:pPr>
            <w:r/>
            <w:r>
              <w:rPr>
                <w:rFonts w:ascii="Times New Roman" w:hAnsi="Times New Roman"/>
                <w:b/>
                <w:i w:val="0"/>
                <w:sz w:val="18"/>
              </w:rPr>
              <w:t>MCP→med β (p)</w:t>
            </w:r>
          </w:p>
        </w:tc>
        <w:tc>
          <w:tcPr>
            <w:tcW w:type="dxa" w:w="1872"/>
          </w:tcPr>
          <w:p>
            <w:pPr>
              <w:spacing w:line="240" w:lineRule="auto" w:before="20" w:after="20"/>
            </w:pPr>
            <w:r/>
            <w:r>
              <w:rPr>
                <w:rFonts w:ascii="Times New Roman" w:hAnsi="Times New Roman"/>
                <w:b/>
                <w:i w:val="0"/>
                <w:sz w:val="18"/>
              </w:rPr>
              <w:t>med→cog β (p)</w:t>
            </w:r>
          </w:p>
        </w:tc>
        <w:tc>
          <w:tcPr>
            <w:tcW w:type="dxa" w:w="1872"/>
          </w:tcPr>
          <w:p>
            <w:pPr>
              <w:spacing w:line="240" w:lineRule="auto" w:before="20" w:after="20"/>
            </w:pPr>
            <w:r/>
            <w:r>
              <w:rPr>
                <w:rFonts w:ascii="Times New Roman" w:hAnsi="Times New Roman"/>
                <w:b/>
                <w:i w:val="0"/>
                <w:sz w:val="18"/>
              </w:rPr>
              <w:t>Indirect β (95% CI)</w:t>
            </w:r>
          </w:p>
        </w:tc>
        <w:tc>
          <w:tcPr>
            <w:tcW w:type="dxa" w:w="1872"/>
          </w:tcPr>
          <w:p>
            <w:pPr>
              <w:spacing w:line="240" w:lineRule="auto" w:before="20" w:after="20"/>
            </w:pPr>
            <w:r/>
            <w:r>
              <w:rPr>
                <w:rFonts w:ascii="Times New Roman" w:hAnsi="Times New Roman"/>
                <w:b/>
                <w:i w:val="0"/>
                <w:sz w:val="18"/>
              </w:rPr>
              <w:t>p</w:t>
            </w:r>
          </w:p>
        </w:tc>
      </w:tr>
      <w:tr>
        <w:tc>
          <w:tcPr>
            <w:tcW w:type="dxa" w:w="1872"/>
          </w:tcPr>
          <w:p>
            <w:pPr>
              <w:spacing w:line="240" w:lineRule="auto" w:before="20" w:after="20"/>
            </w:pPr>
            <w:r/>
            <w:r>
              <w:rPr>
                <w:rFonts w:ascii="Times New Roman" w:hAnsi="Times New Roman"/>
                <w:b w:val="0"/>
                <w:i w:val="0"/>
                <w:sz w:val="18"/>
              </w:rPr>
              <w:t>Depression</w:t>
            </w:r>
          </w:p>
        </w:tc>
        <w:tc>
          <w:tcPr>
            <w:tcW w:type="dxa" w:w="1872"/>
          </w:tcPr>
          <w:p>
            <w:pPr>
              <w:spacing w:line="240" w:lineRule="auto" w:before="20" w:after="20"/>
            </w:pPr>
            <w:r/>
            <w:r>
              <w:rPr>
                <w:rFonts w:ascii="Times New Roman" w:hAnsi="Times New Roman"/>
                <w:b w:val="0"/>
                <w:i w:val="0"/>
                <w:sz w:val="18"/>
              </w:rPr>
              <w:t>0.620 (&lt;10⁻¹⁴)</w:t>
            </w:r>
          </w:p>
        </w:tc>
        <w:tc>
          <w:tcPr>
            <w:tcW w:type="dxa" w:w="1872"/>
          </w:tcPr>
          <w:p>
            <w:pPr>
              <w:spacing w:line="240" w:lineRule="auto" w:before="20" w:after="20"/>
            </w:pPr>
            <w:r/>
            <w:r>
              <w:rPr>
                <w:rFonts w:ascii="Times New Roman" w:hAnsi="Times New Roman"/>
                <w:b w:val="0"/>
                <w:i w:val="0"/>
                <w:sz w:val="18"/>
              </w:rPr>
              <w:t>−0.078 (0.11)</w:t>
            </w:r>
          </w:p>
        </w:tc>
        <w:tc>
          <w:tcPr>
            <w:tcW w:type="dxa" w:w="1872"/>
          </w:tcPr>
          <w:p>
            <w:pPr>
              <w:spacing w:line="240" w:lineRule="auto" w:before="20" w:after="20"/>
            </w:pPr>
            <w:r/>
            <w:r>
              <w:rPr>
                <w:rFonts w:ascii="Times New Roman" w:hAnsi="Times New Roman"/>
                <w:b w:val="0"/>
                <w:i w:val="0"/>
                <w:sz w:val="18"/>
              </w:rPr>
              <w:t>−0.048 (−0.108, 0.012)</w:t>
            </w:r>
          </w:p>
        </w:tc>
        <w:tc>
          <w:tcPr>
            <w:tcW w:type="dxa" w:w="1872"/>
          </w:tcPr>
          <w:p>
            <w:pPr>
              <w:spacing w:line="240" w:lineRule="auto" w:before="20" w:after="20"/>
            </w:pPr>
            <w:r/>
            <w:r>
              <w:rPr>
                <w:rFonts w:ascii="Times New Roman" w:hAnsi="Times New Roman"/>
                <w:b w:val="0"/>
                <w:i w:val="0"/>
                <w:sz w:val="18"/>
              </w:rPr>
              <w:t>0.11</w:t>
            </w:r>
          </w:p>
        </w:tc>
      </w:tr>
      <w:tr>
        <w:tc>
          <w:tcPr>
            <w:tcW w:type="dxa" w:w="1872"/>
          </w:tcPr>
          <w:p>
            <w:pPr>
              <w:spacing w:line="240" w:lineRule="auto" w:before="20" w:after="20"/>
            </w:pPr>
            <w:r/>
            <w:r>
              <w:rPr>
                <w:rFonts w:ascii="Times New Roman" w:hAnsi="Times New Roman"/>
                <w:b w:val="0"/>
                <w:i w:val="0"/>
                <w:sz w:val="18"/>
              </w:rPr>
              <w:t>CRP</w:t>
            </w:r>
          </w:p>
        </w:tc>
        <w:tc>
          <w:tcPr>
            <w:tcW w:type="dxa" w:w="1872"/>
          </w:tcPr>
          <w:p>
            <w:pPr>
              <w:spacing w:line="240" w:lineRule="auto" w:before="20" w:after="20"/>
            </w:pPr>
            <w:r/>
            <w:r>
              <w:rPr>
                <w:rFonts w:ascii="Times New Roman" w:hAnsi="Times New Roman"/>
                <w:b w:val="0"/>
                <w:i w:val="0"/>
                <w:sz w:val="18"/>
              </w:rPr>
              <w:t>0.180 (5.6×10⁻⁴)</w:t>
            </w:r>
          </w:p>
        </w:tc>
        <w:tc>
          <w:tcPr>
            <w:tcW w:type="dxa" w:w="1872"/>
          </w:tcPr>
          <w:p>
            <w:pPr>
              <w:spacing w:line="240" w:lineRule="auto" w:before="20" w:after="20"/>
            </w:pPr>
            <w:r/>
            <w:r>
              <w:rPr>
                <w:rFonts w:ascii="Times New Roman" w:hAnsi="Times New Roman"/>
                <w:b w:val="0"/>
                <w:i w:val="0"/>
                <w:sz w:val="18"/>
              </w:rPr>
              <w:t>0.001 (0.95)</w:t>
            </w:r>
          </w:p>
        </w:tc>
        <w:tc>
          <w:tcPr>
            <w:tcW w:type="dxa" w:w="1872"/>
          </w:tcPr>
          <w:p>
            <w:pPr>
              <w:spacing w:line="240" w:lineRule="auto" w:before="20" w:after="20"/>
            </w:pPr>
            <w:r/>
            <w:r>
              <w:rPr>
                <w:rFonts w:ascii="Times New Roman" w:hAnsi="Times New Roman"/>
                <w:b w:val="0"/>
                <w:i w:val="0"/>
                <w:sz w:val="18"/>
              </w:rPr>
              <w:t>0.0002 (−0.005, 0.005)</w:t>
            </w:r>
          </w:p>
        </w:tc>
        <w:tc>
          <w:tcPr>
            <w:tcW w:type="dxa" w:w="1872"/>
          </w:tcPr>
          <w:p>
            <w:pPr>
              <w:spacing w:line="240" w:lineRule="auto" w:before="20" w:after="20"/>
            </w:pPr>
            <w:r/>
            <w:r>
              <w:rPr>
                <w:rFonts w:ascii="Times New Roman" w:hAnsi="Times New Roman"/>
                <w:b w:val="0"/>
                <w:i w:val="0"/>
                <w:sz w:val="18"/>
              </w:rPr>
              <w:t>0.95</w:t>
            </w:r>
          </w:p>
        </w:tc>
      </w:tr>
      <w:tr>
        <w:tc>
          <w:tcPr>
            <w:tcW w:type="dxa" w:w="1872"/>
          </w:tcPr>
          <w:p>
            <w:pPr>
              <w:spacing w:line="240" w:lineRule="auto" w:before="20" w:after="20"/>
            </w:pPr>
            <w:r/>
            <w:r>
              <w:rPr>
                <w:rFonts w:ascii="Times New Roman" w:hAnsi="Times New Roman"/>
                <w:b w:val="0"/>
                <w:i w:val="0"/>
                <w:sz w:val="18"/>
              </w:rPr>
              <w:t>Insomnia</w:t>
            </w:r>
          </w:p>
        </w:tc>
        <w:tc>
          <w:tcPr>
            <w:tcW w:type="dxa" w:w="1872"/>
          </w:tcPr>
          <w:p>
            <w:pPr>
              <w:spacing w:line="240" w:lineRule="auto" w:before="20" w:after="20"/>
            </w:pPr>
            <w:r/>
            <w:r>
              <w:rPr>
                <w:rFonts w:ascii="Times New Roman" w:hAnsi="Times New Roman"/>
                <w:b w:val="0"/>
                <w:i w:val="0"/>
                <w:sz w:val="18"/>
              </w:rPr>
              <w:t>0.265 (&lt;10⁻¹⁶)</w:t>
            </w:r>
          </w:p>
        </w:tc>
        <w:tc>
          <w:tcPr>
            <w:tcW w:type="dxa" w:w="1872"/>
          </w:tcPr>
          <w:p>
            <w:pPr>
              <w:spacing w:line="240" w:lineRule="auto" w:before="20" w:after="20"/>
            </w:pPr>
            <w:r/>
            <w:r>
              <w:rPr>
                <w:rFonts w:ascii="Times New Roman" w:hAnsi="Times New Roman"/>
                <w:b w:val="0"/>
                <w:i w:val="0"/>
                <w:sz w:val="18"/>
              </w:rPr>
              <w:t>−0.019 (0.86)</w:t>
            </w:r>
          </w:p>
        </w:tc>
        <w:tc>
          <w:tcPr>
            <w:tcW w:type="dxa" w:w="1872"/>
          </w:tcPr>
          <w:p>
            <w:pPr>
              <w:spacing w:line="240" w:lineRule="auto" w:before="20" w:after="20"/>
            </w:pPr>
            <w:r/>
            <w:r>
              <w:rPr>
                <w:rFonts w:ascii="Times New Roman" w:hAnsi="Times New Roman"/>
                <w:b w:val="0"/>
                <w:i w:val="0"/>
                <w:sz w:val="18"/>
              </w:rPr>
              <w:t>−0.005 (−0.059, 0.049)</w:t>
            </w:r>
          </w:p>
        </w:tc>
        <w:tc>
          <w:tcPr>
            <w:tcW w:type="dxa" w:w="1872"/>
          </w:tcPr>
          <w:p>
            <w:pPr>
              <w:spacing w:line="240" w:lineRule="auto" w:before="20" w:after="20"/>
            </w:pPr>
            <w:r/>
            <w:r>
              <w:rPr>
                <w:rFonts w:ascii="Times New Roman" w:hAnsi="Times New Roman"/>
                <w:b w:val="0"/>
                <w:i w:val="0"/>
                <w:sz w:val="18"/>
              </w:rPr>
              <w:t>0.86</w:t>
            </w:r>
          </w:p>
        </w:tc>
      </w:tr>
    </w:tbl>
    <w:p>
      <w:pPr>
        <w:spacing w:line="240" w:lineRule="auto" w:before="0" w:after="80"/>
      </w:pPr>
    </w:p>
    <w:p>
      <w:pPr>
        <w:spacing w:before="0" w:after="0"/>
      </w:pPr>
      <w:r>
        <w:rPr>
          <w:rFonts w:ascii="Times New Roman" w:hAnsi="Times New Roman"/>
          <w:b w:val="0"/>
          <w:i w:val="0"/>
        </w:rPr>
        <w:t xml:space="preserve">No mediator reached significance. The two-step mediation was </w:t>
      </w:r>
      <w:r>
        <w:rPr>
          <w:rFonts w:ascii="Times New Roman" w:hAnsi="Times New Roman"/>
          <w:b/>
          <w:i w:val="0"/>
        </w:rPr>
        <w:t>underpowered</w:t>
      </w:r>
      <w:r>
        <w:rPr>
          <w:rFonts w:ascii="Times New Roman" w:hAnsi="Times New Roman"/>
          <w:b w:val="0"/>
          <w:i w:val="0"/>
        </w:rPr>
        <w:t xml:space="preserve"> (the depression indirect-effect 95% CI, −0.108 to 0.012, nearly touches zero and its p-value, 0.11, is far from excluding an effect), so these null results </w:t>
      </w:r>
      <w:r>
        <w:rPr>
          <w:rFonts w:ascii="Times New Roman" w:hAnsi="Times New Roman"/>
          <w:b/>
          <w:i w:val="0"/>
        </w:rPr>
        <w:t>cannot</w:t>
      </w:r>
      <w:r>
        <w:rPr>
          <w:rFonts w:ascii="Times New Roman" w:hAnsi="Times New Roman"/>
          <w:b w:val="0"/>
          <w:i w:val="0"/>
        </w:rPr>
        <w:t xml:space="preserve"> be interpreted as evidence of a direct effect. The MCP–cognition association therefore remains mechanistically unexplained; we do not claim a direct pathway.</w:t>
      </w:r>
    </w:p>
    <w:p>
      <w:pPr>
        <w:spacing w:before="160" w:after="80"/>
      </w:pPr>
      <w:r>
        <w:rPr>
          <w:rFonts w:ascii="Times New Roman" w:hAnsi="Times New Roman"/>
          <w:b/>
          <w:i w:val="0"/>
          <w:sz w:val="24"/>
        </w:rPr>
        <w:t>3.4 NHANES auxiliary — correlates of subjective memory complaint (n=39,156)</w:t>
      </w:r>
    </w:p>
    <w:p>
      <w:pPr>
        <w:spacing w:before="0" w:after="0"/>
      </w:pPr>
      <w:r>
        <w:rPr>
          <w:rFonts w:ascii="Times New Roman" w:hAnsi="Times New Roman"/>
          <w:b w:val="0"/>
          <w:i w:val="0"/>
        </w:rPr>
        <w:t>Weighted prevalences: memory complaint 3.4% (SE 0.2), depression (PHQ-9≥10) 7.5% (0.3), sleep trouble 28.0% (0.6), functional limitation 35.2% (0.7); mean PHQ-9 2.85.</w:t>
      </w:r>
    </w:p>
    <w:tbl>
      <w:tblPr>
        <w:tblStyle w:val="TableGrid"/>
        <w:tblW w:type="auto" w:w="0"/>
        <w:jc w:val="center"/>
        <w:tblLayout w:type="autofit"/>
        <w:tblLook w:firstColumn="1" w:firstRow="1" w:lastColumn="0" w:lastRow="0" w:noHBand="0" w:noVBand="1" w:val="04A0"/>
      </w:tblPr>
      <w:tblGrid>
        <w:gridCol w:w="3120"/>
        <w:gridCol w:w="3120"/>
        <w:gridCol w:w="3120"/>
      </w:tblGrid>
      <w:tr>
        <w:trPr>
          <w:tblHeader/>
        </w:trPr>
        <w:tc>
          <w:tcPr>
            <w:tcW w:type="dxa" w:w="3120"/>
          </w:tcPr>
          <w:p>
            <w:pPr>
              <w:spacing w:line="240" w:lineRule="auto" w:before="20" w:after="20"/>
            </w:pPr>
            <w:r/>
            <w:r>
              <w:rPr>
                <w:rFonts w:ascii="Times New Roman" w:hAnsi="Times New Roman"/>
                <w:b/>
                <w:i w:val="0"/>
                <w:sz w:val="18"/>
              </w:rPr>
              <w:t>Predictor</w:t>
            </w:r>
          </w:p>
        </w:tc>
        <w:tc>
          <w:tcPr>
            <w:tcW w:type="dxa" w:w="3120"/>
          </w:tcPr>
          <w:p>
            <w:pPr>
              <w:spacing w:line="240" w:lineRule="auto" w:before="20" w:after="20"/>
            </w:pPr>
            <w:r/>
            <w:r>
              <w:rPr>
                <w:rFonts w:ascii="Times New Roman" w:hAnsi="Times New Roman"/>
                <w:b/>
                <w:i w:val="0"/>
                <w:sz w:val="18"/>
              </w:rPr>
              <w:t>log-OR (SE)</w:t>
            </w:r>
          </w:p>
        </w:tc>
        <w:tc>
          <w:tcPr>
            <w:tcW w:type="dxa" w:w="3120"/>
          </w:tcPr>
          <w:p>
            <w:pPr>
              <w:spacing w:line="240" w:lineRule="auto" w:before="20" w:after="20"/>
            </w:pPr>
            <w:r/>
            <w:r>
              <w:rPr>
                <w:rFonts w:ascii="Times New Roman" w:hAnsi="Times New Roman"/>
                <w:b/>
                <w:i w:val="0"/>
                <w:sz w:val="18"/>
              </w:rPr>
              <w:t>p</w:t>
            </w:r>
          </w:p>
        </w:tc>
      </w:tr>
      <w:tr>
        <w:tc>
          <w:tcPr>
            <w:tcW w:type="dxa" w:w="3120"/>
          </w:tcPr>
          <w:p>
            <w:pPr>
              <w:spacing w:line="240" w:lineRule="auto" w:before="20" w:after="20"/>
            </w:pPr>
            <w:r/>
            <w:r>
              <w:rPr>
                <w:rFonts w:ascii="Times New Roman" w:hAnsi="Times New Roman"/>
                <w:b w:val="0"/>
                <w:i w:val="0"/>
                <w:sz w:val="18"/>
              </w:rPr>
              <w:t>Depression (PHQ-9≥10)</w:t>
            </w:r>
          </w:p>
        </w:tc>
        <w:tc>
          <w:tcPr>
            <w:tcW w:type="dxa" w:w="3120"/>
          </w:tcPr>
          <w:p>
            <w:pPr>
              <w:spacing w:line="240" w:lineRule="auto" w:before="20" w:after="20"/>
            </w:pPr>
            <w:r/>
            <w:r>
              <w:rPr>
                <w:rFonts w:ascii="Times New Roman" w:hAnsi="Times New Roman"/>
                <w:b w:val="0"/>
                <w:i w:val="0"/>
                <w:sz w:val="18"/>
              </w:rPr>
              <w:t>0.666 (0.138)</w:t>
            </w:r>
          </w:p>
        </w:tc>
        <w:tc>
          <w:tcPr>
            <w:tcW w:type="dxa" w:w="3120"/>
          </w:tcPr>
          <w:p>
            <w:pPr>
              <w:spacing w:line="240" w:lineRule="auto" w:before="20" w:after="20"/>
            </w:pPr>
            <w:r/>
            <w:r>
              <w:rPr>
                <w:rFonts w:ascii="Times New Roman" w:hAnsi="Times New Roman"/>
                <w:b w:val="0"/>
                <w:i w:val="0"/>
                <w:sz w:val="18"/>
              </w:rPr>
              <w:t>&lt;0.001</w:t>
            </w:r>
          </w:p>
        </w:tc>
      </w:tr>
      <w:tr>
        <w:tc>
          <w:tcPr>
            <w:tcW w:type="dxa" w:w="3120"/>
          </w:tcPr>
          <w:p>
            <w:pPr>
              <w:spacing w:line="240" w:lineRule="auto" w:before="20" w:after="20"/>
            </w:pPr>
            <w:r/>
            <w:r>
              <w:rPr>
                <w:rFonts w:ascii="Times New Roman" w:hAnsi="Times New Roman"/>
                <w:b w:val="0"/>
                <w:i w:val="0"/>
                <w:sz w:val="18"/>
              </w:rPr>
              <w:t>Sleep trouble</w:t>
            </w:r>
          </w:p>
        </w:tc>
        <w:tc>
          <w:tcPr>
            <w:tcW w:type="dxa" w:w="3120"/>
          </w:tcPr>
          <w:p>
            <w:pPr>
              <w:spacing w:line="240" w:lineRule="auto" w:before="20" w:after="20"/>
            </w:pPr>
            <w:r/>
            <w:r>
              <w:rPr>
                <w:rFonts w:ascii="Times New Roman" w:hAnsi="Times New Roman"/>
                <w:b w:val="0"/>
                <w:i w:val="0"/>
                <w:sz w:val="18"/>
              </w:rPr>
              <w:t>0.386 (0.123)</w:t>
            </w:r>
          </w:p>
        </w:tc>
        <w:tc>
          <w:tcPr>
            <w:tcW w:type="dxa" w:w="3120"/>
          </w:tcPr>
          <w:p>
            <w:pPr>
              <w:spacing w:line="240" w:lineRule="auto" w:before="20" w:after="20"/>
            </w:pPr>
            <w:r/>
            <w:r>
              <w:rPr>
                <w:rFonts w:ascii="Times New Roman" w:hAnsi="Times New Roman"/>
                <w:b w:val="0"/>
                <w:i w:val="0"/>
                <w:sz w:val="18"/>
              </w:rPr>
              <w:t>0.003</w:t>
            </w:r>
          </w:p>
        </w:tc>
      </w:tr>
      <w:tr>
        <w:tc>
          <w:tcPr>
            <w:tcW w:type="dxa" w:w="3120"/>
          </w:tcPr>
          <w:p>
            <w:pPr>
              <w:spacing w:line="240" w:lineRule="auto" w:before="20" w:after="20"/>
            </w:pPr>
            <w:r/>
            <w:r>
              <w:rPr>
                <w:rFonts w:ascii="Times New Roman" w:hAnsi="Times New Roman"/>
                <w:b w:val="0"/>
                <w:i w:val="0"/>
                <w:sz w:val="18"/>
              </w:rPr>
              <w:t>Functional limitation</w:t>
            </w:r>
          </w:p>
        </w:tc>
        <w:tc>
          <w:tcPr>
            <w:tcW w:type="dxa" w:w="3120"/>
          </w:tcPr>
          <w:p>
            <w:pPr>
              <w:spacing w:line="240" w:lineRule="auto" w:before="20" w:after="20"/>
            </w:pPr>
            <w:r/>
            <w:r>
              <w:rPr>
                <w:rFonts w:ascii="Times New Roman" w:hAnsi="Times New Roman"/>
                <w:b w:val="0"/>
                <w:i w:val="0"/>
                <w:sz w:val="18"/>
              </w:rPr>
              <w:t>1.401 (0.198)</w:t>
            </w:r>
          </w:p>
        </w:tc>
        <w:tc>
          <w:tcPr>
            <w:tcW w:type="dxa" w:w="3120"/>
          </w:tcPr>
          <w:p>
            <w:pPr>
              <w:spacing w:line="240" w:lineRule="auto" w:before="20" w:after="20"/>
            </w:pPr>
            <w:r/>
            <w:r>
              <w:rPr>
                <w:rFonts w:ascii="Times New Roman" w:hAnsi="Times New Roman"/>
                <w:b w:val="0"/>
                <w:i w:val="0"/>
                <w:sz w:val="18"/>
              </w:rPr>
              <w:t>&lt;0.001</w:t>
            </w:r>
          </w:p>
        </w:tc>
      </w:tr>
      <w:tr>
        <w:tc>
          <w:tcPr>
            <w:tcW w:type="dxa" w:w="3120"/>
          </w:tcPr>
          <w:p>
            <w:pPr>
              <w:spacing w:line="240" w:lineRule="auto" w:before="20" w:after="20"/>
            </w:pPr>
            <w:r/>
            <w:r>
              <w:rPr>
                <w:rFonts w:ascii="Times New Roman" w:hAnsi="Times New Roman"/>
                <w:b w:val="0"/>
                <w:i w:val="0"/>
                <w:sz w:val="18"/>
              </w:rPr>
              <w:t>Age (per year)</w:t>
            </w:r>
          </w:p>
        </w:tc>
        <w:tc>
          <w:tcPr>
            <w:tcW w:type="dxa" w:w="3120"/>
          </w:tcPr>
          <w:p>
            <w:pPr>
              <w:spacing w:line="240" w:lineRule="auto" w:before="20" w:after="20"/>
            </w:pPr>
            <w:r/>
            <w:r>
              <w:rPr>
                <w:rFonts w:ascii="Times New Roman" w:hAnsi="Times New Roman"/>
                <w:b w:val="0"/>
                <w:i w:val="0"/>
                <w:sz w:val="18"/>
              </w:rPr>
              <w:t>0.052 (0.003)</w:t>
            </w:r>
          </w:p>
        </w:tc>
        <w:tc>
          <w:tcPr>
            <w:tcW w:type="dxa" w:w="3120"/>
          </w:tcPr>
          <w:p>
            <w:pPr>
              <w:spacing w:line="240" w:lineRule="auto" w:before="20" w:after="20"/>
            </w:pPr>
            <w:r/>
            <w:r>
              <w:rPr>
                <w:rFonts w:ascii="Times New Roman" w:hAnsi="Times New Roman"/>
                <w:b w:val="0"/>
                <w:i w:val="0"/>
                <w:sz w:val="18"/>
              </w:rPr>
              <w:t>&lt;0.001</w:t>
            </w:r>
          </w:p>
        </w:tc>
      </w:tr>
      <w:tr>
        <w:tc>
          <w:tcPr>
            <w:tcW w:type="dxa" w:w="3120"/>
          </w:tcPr>
          <w:p>
            <w:pPr>
              <w:spacing w:line="240" w:lineRule="auto" w:before="20" w:after="20"/>
            </w:pPr>
            <w:r/>
            <w:r>
              <w:rPr>
                <w:rFonts w:ascii="Times New Roman" w:hAnsi="Times New Roman"/>
                <w:b w:val="0"/>
                <w:i w:val="0"/>
                <w:sz w:val="18"/>
              </w:rPr>
              <w:t>Female (vs male)</w:t>
            </w:r>
          </w:p>
        </w:tc>
        <w:tc>
          <w:tcPr>
            <w:tcW w:type="dxa" w:w="3120"/>
          </w:tcPr>
          <w:p>
            <w:pPr>
              <w:spacing w:line="240" w:lineRule="auto" w:before="20" w:after="20"/>
            </w:pPr>
            <w:r/>
            <w:r>
              <w:rPr>
                <w:rFonts w:ascii="Times New Roman" w:hAnsi="Times New Roman"/>
                <w:b w:val="0"/>
                <w:i w:val="0"/>
                <w:sz w:val="18"/>
              </w:rPr>
              <w:t>−0.833 (0.094)</w:t>
            </w:r>
          </w:p>
        </w:tc>
        <w:tc>
          <w:tcPr>
            <w:tcW w:type="dxa" w:w="3120"/>
          </w:tcPr>
          <w:p>
            <w:pPr>
              <w:spacing w:line="240" w:lineRule="auto" w:before="20" w:after="20"/>
            </w:pPr>
            <w:r/>
            <w:r>
              <w:rPr>
                <w:rFonts w:ascii="Times New Roman" w:hAnsi="Times New Roman"/>
                <w:b w:val="0"/>
                <w:i w:val="0"/>
                <w:sz w:val="18"/>
              </w:rPr>
              <w:t>&lt;0.001</w:t>
            </w:r>
          </w:p>
        </w:tc>
      </w:tr>
    </w:tbl>
    <w:p>
      <w:pPr>
        <w:spacing w:line="240" w:lineRule="auto" w:before="0" w:after="80"/>
      </w:pPr>
    </w:p>
    <w:p>
      <w:pPr>
        <w:spacing w:before="0" w:after="0"/>
      </w:pPr>
      <w:r>
        <w:rPr>
          <w:rFonts w:ascii="Times New Roman" w:hAnsi="Times New Roman"/>
          <w:b w:val="0"/>
          <w:i w:val="0"/>
        </w:rPr>
        <w:t xml:space="preserve">Sensitivity (continuous PHQ-9): log-OR 0.057 (SE 0.010, p&lt;0.001). Memory complaint was independently associated with depression, sleep trouble, and especially functional limitation. </w:t>
      </w:r>
      <w:r>
        <w:rPr>
          <w:rFonts w:ascii="Times New Roman" w:hAnsi="Times New Roman"/>
          <w:b/>
          <w:i w:val="0"/>
        </w:rPr>
        <w:t>Because NHANES contains no pain variable in these cycles, this analysis is descriptive context only and provides no evidence about the pain→cognition hypothesis.</w:t>
      </w:r>
    </w:p>
    <w:p>
      <w:pPr>
        <w:spacing w:before="160" w:after="80"/>
      </w:pPr>
      <w:r>
        <w:rPr>
          <w:rFonts w:ascii="Times New Roman" w:hAnsi="Times New Roman"/>
          <w:b/>
          <w:i w:val="0"/>
          <w:sz w:val="24"/>
        </w:rPr>
        <w:t xml:space="preserve">3.5 CHARLS longitudinal </w:t>
      </w:r>
      <w:r>
        <w:rPr>
          <w:rFonts w:ascii="Times New Roman" w:hAnsi="Times New Roman"/>
          <w:b/>
          <w:i w:val="0"/>
          <w:sz w:val="24"/>
        </w:rPr>
        <w:t>[PENDING DATA]</w:t>
      </w:r>
    </w:p>
    <w:p>
      <w:pPr>
        <w:spacing w:before="0" w:after="0"/>
      </w:pPr>
      <w:r>
        <w:rPr>
          <w:rFonts w:ascii="Times New Roman" w:hAnsi="Times New Roman"/>
          <w:b w:val="0"/>
          <w:i w:val="0"/>
        </w:rPr>
        <w:t>Not executed. Placeholder for pain-site burden → cognitive decline (LMM) and incident-decline (Cox) results, to be inserted on data access.</w:t>
      </w:r>
    </w:p>
    <w:p>
      <w:pPr>
        <w:spacing w:before="160" w:after="80"/>
      </w:pPr>
      <w:r>
        <w:rPr>
          <w:rFonts w:ascii="Times New Roman" w:hAnsi="Times New Roman"/>
          <w:b/>
          <w:i w:val="0"/>
          <w:sz w:val="24"/>
        </w:rPr>
        <w:t>4. Discussion</w:t>
      </w:r>
    </w:p>
    <w:p>
      <w:pPr>
        <w:spacing w:before="0" w:after="0"/>
      </w:pPr>
      <w:r>
        <w:rPr>
          <w:rFonts w:ascii="Times New Roman" w:hAnsi="Times New Roman"/>
          <w:b w:val="0"/>
          <w:i w:val="0"/>
        </w:rPr>
        <w:t xml:space="preserve">Our MR core is </w:t>
      </w:r>
      <w:r>
        <w:rPr>
          <w:rFonts w:ascii="Times New Roman" w:hAnsi="Times New Roman"/>
          <w:b/>
          <w:i w:val="0"/>
        </w:rPr>
        <w:t>compatible</w:t>
      </w:r>
      <w:r>
        <w:rPr>
          <w:rFonts w:ascii="Times New Roman" w:hAnsi="Times New Roman"/>
          <w:b w:val="0"/>
          <w:i w:val="0"/>
        </w:rPr>
        <w:t xml:space="preserve"> with an association between genetically predicted multisite chronic pain and </w:t>
      </w:r>
      <w:r>
        <w:rPr>
          <w:rFonts w:ascii="Times New Roman" w:hAnsi="Times New Roman"/>
          <w:b/>
          <w:i w:val="0"/>
        </w:rPr>
        <w:t>lower cognitive performance</w:t>
      </w:r>
      <w:r>
        <w:rPr>
          <w:rFonts w:ascii="Times New Roman" w:hAnsi="Times New Roman"/>
          <w:b w:val="0"/>
          <w:i w:val="0"/>
        </w:rPr>
        <w:t xml:space="preserve">, robust to Egger and weighted-median sensitivity analyses, with no detectable directional pleiotropy. However, the significant </w:t>
      </w:r>
      <w:r>
        <w:rPr>
          <w:rFonts w:ascii="Times New Roman" w:hAnsi="Times New Roman"/>
          <w:b/>
          <w:i w:val="0"/>
        </w:rPr>
        <w:t>reverse</w:t>
      </w:r>
      <w:r>
        <w:rPr>
          <w:rFonts w:ascii="Times New Roman" w:hAnsi="Times New Roman"/>
          <w:b w:val="0"/>
          <w:i w:val="0"/>
        </w:rPr>
        <w:t xml:space="preserve"> direction and the </w:t>
      </w:r>
      <w:r>
        <w:rPr>
          <w:rFonts w:ascii="Times New Roman" w:hAnsi="Times New Roman"/>
          <w:b/>
          <w:i w:val="0"/>
        </w:rPr>
        <w:t>non-significant Steiger directionality test (p=0.23)</w:t>
      </w:r>
      <w:r>
        <w:rPr>
          <w:rFonts w:ascii="Times New Roman" w:hAnsi="Times New Roman"/>
          <w:b w:val="0"/>
          <w:i w:val="0"/>
        </w:rPr>
        <w:t xml:space="preserve"> together leave the causal direction unresolved — we therefore describe the finding as an association rather than assert a unilateral causal arrow. The ≈35% gap between the IVW estimate (−0.361) and the weighted-median estimate (−0.233) further signals possible </w:t>
      </w:r>
      <w:r>
        <w:rPr>
          <w:rFonts w:ascii="Times New Roman" w:hAnsi="Times New Roman"/>
          <w:b/>
          <w:i w:val="0"/>
        </w:rPr>
        <w:t>horizontal (non-directional) pleiotropy</w:t>
      </w:r>
      <w:r>
        <w:rPr>
          <w:rFonts w:ascii="Times New Roman" w:hAnsi="Times New Roman"/>
          <w:b w:val="0"/>
          <w:i w:val="0"/>
        </w:rPr>
        <w:t xml:space="preserve">, which the non-significant Egger intercept does not rule out (see Limitations). The AD/dementia signal was inconsistent across consortia — IGAP positive, Ben Nevis and all-cause dementia null — and should be read as hypothesis-generating. Framed as a </w:t>
      </w:r>
      <w:r>
        <w:rPr>
          <w:rFonts w:ascii="Times New Roman" w:hAnsi="Times New Roman"/>
          <w:b/>
          <w:i w:val="0"/>
        </w:rPr>
        <w:t>non-UKB overlap-robustness re-interpretation</w:t>
      </w:r>
      <w:r>
        <w:rPr>
          <w:rFonts w:ascii="Times New Roman" w:hAnsi="Times New Roman"/>
          <w:b w:val="0"/>
          <w:i w:val="0"/>
        </w:rPr>
        <w:t xml:space="preserve"> (§3.1.1; the same §3.1 FinnGen dementia and IGAP AD estimates, re-framed as overlap-free), however, the IGAP AD estimate (significant, overlap-free) and the Finnish all-cause dementia estimate both pointed in the same direction as the UKB cognition result, providing cross-source corroboration that the association is not merely an artefact of UKB sample overlap; the non-significant all-cause dementia result most plausibly reflects the limited power of a binary trait with a smaller effective case sample.</w:t>
      </w:r>
    </w:p>
    <w:p>
      <w:pPr>
        <w:spacing w:before="0" w:after="0"/>
      </w:pPr>
      <w:r>
        <w:rPr>
          <w:rFonts w:ascii="Times New Roman" w:hAnsi="Times New Roman"/>
          <w:b w:val="0"/>
          <w:i w:val="0"/>
        </w:rPr>
        <w:t xml:space="preserve">Mechanistically, no tested mediator (depression, CRP, insomnia) was significant. Because the two-step mediation was underpowered, this does </w:t>
      </w:r>
      <w:r>
        <w:rPr>
          <w:rFonts w:ascii="Times New Roman" w:hAnsi="Times New Roman"/>
          <w:b/>
          <w:i w:val="0"/>
        </w:rPr>
        <w:t>not</w:t>
      </w:r>
      <w:r>
        <w:rPr>
          <w:rFonts w:ascii="Times New Roman" w:hAnsi="Times New Roman"/>
          <w:b w:val="0"/>
          <w:i w:val="0"/>
        </w:rPr>
        <w:t xml:space="preserve"> establish a direct pathway; central sensitisation, neuroinflammation, or HPA-axis dysregulation remain </w:t>
      </w:r>
      <w:r>
        <w:rPr>
          <w:rFonts w:ascii="Times New Roman" w:hAnsi="Times New Roman"/>
          <w:b/>
          <w:i w:val="0"/>
        </w:rPr>
        <w:t>speculative</w:t>
      </w:r>
      <w:r>
        <w:rPr>
          <w:rFonts w:ascii="Times New Roman" w:hAnsi="Times New Roman"/>
          <w:b w:val="0"/>
          <w:i w:val="0"/>
        </w:rPr>
        <w:t xml:space="preserve"> possibilities requiring experimental validation. NHANES provides descriptive context only — subjective memory complaint clusters with depression, sleep, and disability — and, lacking any pain variable, does not bear on the pain→cognition question.</w:t>
      </w:r>
    </w:p>
    <w:p>
      <w:pPr>
        <w:spacing w:before="0" w:after="0"/>
      </w:pPr>
      <w:r>
        <w:rPr>
          <w:rFonts w:ascii="Times New Roman" w:hAnsi="Times New Roman"/>
          <w:b w:val="0"/>
          <w:i w:val="0"/>
        </w:rPr>
        <w:t xml:space="preserve">The direction of the dementia/AD effects diverges from the cognition result: genetically predicted MCP associated with </w:t>
      </w:r>
      <w:r>
        <w:rPr>
          <w:rFonts w:ascii="Times New Roman" w:hAnsi="Times New Roman"/>
          <w:b w:val="0"/>
          <w:i/>
        </w:rPr>
        <w:t>higher</w:t>
      </w:r>
      <w:r>
        <w:rPr>
          <w:rFonts w:ascii="Times New Roman" w:hAnsi="Times New Roman"/>
          <w:b w:val="0"/>
          <w:i w:val="0"/>
        </w:rPr>
        <w:t xml:space="preserve"> AD odds (IGAP β=+0.466) but </w:t>
      </w:r>
      <w:r>
        <w:rPr>
          <w:rFonts w:ascii="Times New Roman" w:hAnsi="Times New Roman"/>
          <w:b w:val="0"/>
          <w:i/>
        </w:rPr>
        <w:t>lower</w:t>
      </w:r>
      <w:r>
        <w:rPr>
          <w:rFonts w:ascii="Times New Roman" w:hAnsi="Times New Roman"/>
          <w:b w:val="0"/>
          <w:i w:val="0"/>
        </w:rPr>
        <w:t xml:space="preserve"> cognitive performance (β=−0.361). A plausible reconciliation is that cognitive reserve erosion (lower performance) raises later AD risk, but the positive AD association was inconsistent (Ben Nevis and all-cause dementia null) and may reflect different AD GWAS definitions or insufficient power in the binary dementia outcomes; it should not be over-interpreted.</w:t>
      </w:r>
    </w:p>
    <w:p>
      <w:pPr>
        <w:spacing w:before="160" w:after="80"/>
      </w:pPr>
      <w:r>
        <w:rPr>
          <w:rFonts w:ascii="Times New Roman" w:hAnsi="Times New Roman"/>
          <w:b/>
          <w:i w:val="0"/>
          <w:sz w:val="24"/>
        </w:rPr>
        <w:t>Limitations</w:t>
      </w:r>
    </w:p>
    <w:p>
      <w:pPr>
        <w:spacing w:before="0" w:after="0"/>
      </w:pPr>
      <w:r>
        <w:rPr>
          <w:rFonts w:ascii="Times New Roman" w:hAnsi="Times New Roman"/>
          <w:b w:val="0"/>
          <w:i w:val="0"/>
        </w:rPr>
        <w:t xml:space="preserve">1. </w:t>
      </w:r>
      <w:r>
        <w:rPr>
          <w:rFonts w:ascii="Times New Roman" w:hAnsi="Times New Roman"/>
          <w:b/>
          <w:i w:val="0"/>
        </w:rPr>
        <w:t>Reverse causation unresolved</w:t>
      </w:r>
      <w:r>
        <w:rPr>
          <w:rFonts w:ascii="Times New Roman" w:hAnsi="Times New Roman"/>
          <w:b w:val="0"/>
          <w:i w:val="0"/>
        </w:rPr>
        <w:t xml:space="preserve"> — bidirectional significance. The reverse MR (cognition→MCP, §3.2) was also significant, but because both its exposure and outcome are UKB-sourced, it is subject to the same (indeed heavier) UKB sample-overlap bias as the forward direction. The bidirectional significance therefore cannot independently establish causal direction, reciprocal effects, or shared genetic architecture; it may partly reflect the common UKB overlap. A non-overlapping reverse analysis is still required.</w:t>
      </w:r>
    </w:p>
    <w:p>
      <w:pPr>
        <w:spacing w:before="0" w:after="0"/>
      </w:pPr>
      <w:r>
        <w:rPr>
          <w:rFonts w:ascii="Times New Roman" w:hAnsi="Times New Roman"/>
          <w:b w:val="0"/>
          <w:i w:val="0"/>
        </w:rPr>
        <w:t xml:space="preserve">2. </w:t>
      </w:r>
      <w:r>
        <w:rPr>
          <w:rFonts w:ascii="Times New Roman" w:hAnsi="Times New Roman"/>
          <w:b/>
          <w:i w:val="0"/>
        </w:rPr>
        <w:t>Heterogeneity and possible horizontal pleiotropy.</w:t>
      </w:r>
      <w:r>
        <w:rPr>
          <w:rFonts w:ascii="Times New Roman" w:hAnsi="Times New Roman"/>
          <w:b w:val="0"/>
          <w:i w:val="0"/>
        </w:rPr>
        <w:t xml:space="preserve"> The cognition IVW showed substantial heterogeneity (Cochran Q p&lt;10⁻³⁰; I²≈83.5%), indicating variant-level effect variation and arguing against a single homogeneous causal effect. The weighted-median estimate (−0.233) is ≈35% smaller in magnitude than the IVW estimate (−0.361); this gap is consistent with </w:t>
      </w:r>
      <w:r>
        <w:rPr>
          <w:rFonts w:ascii="Times New Roman" w:hAnsi="Times New Roman"/>
          <w:b/>
          <w:i w:val="0"/>
        </w:rPr>
        <w:t>horizontal (non-directional) pleiotropy</w:t>
      </w:r>
      <w:r>
        <w:rPr>
          <w:rFonts w:ascii="Times New Roman" w:hAnsi="Times New Roman"/>
          <w:b w:val="0"/>
          <w:i w:val="0"/>
        </w:rPr>
        <w:t xml:space="preserve">, because the non-significant Egger intercept (p=0.34) excludes only </w:t>
      </w:r>
      <w:r>
        <w:rPr>
          <w:rFonts w:ascii="Times New Roman" w:hAnsi="Times New Roman"/>
          <w:b w:val="0"/>
          <w:i/>
        </w:rPr>
        <w:t>directional</w:t>
      </w:r>
      <w:r>
        <w:rPr>
          <w:rFonts w:ascii="Times New Roman" w:hAnsi="Times New Roman"/>
          <w:b w:val="0"/>
          <w:i w:val="0"/>
        </w:rPr>
        <w:t xml:space="preserve"> pleiotropy, not balanced effects. The Statistical Analysis Plan specified MR-PRESSO / outlier-SNP re-estimation to clarify this, but those analyses could not be run (TwoSampleMR unavailable; Limitation 7); Radial MR is recommended as future work. Estimates remained directionally stable in leave-one-out.</w:t>
      </w:r>
    </w:p>
    <w:p>
      <w:pPr>
        <w:spacing w:before="0" w:after="0"/>
      </w:pPr>
      <w:r>
        <w:rPr>
          <w:rFonts w:ascii="Times New Roman" w:hAnsi="Times New Roman"/>
          <w:b w:val="0"/>
          <w:i w:val="0"/>
        </w:rPr>
        <w:t xml:space="preserve">3. </w:t>
      </w:r>
      <w:r>
        <w:rPr>
          <w:rFonts w:ascii="Times New Roman" w:hAnsi="Times New Roman"/>
          <w:b/>
          <w:i w:val="0"/>
        </w:rPr>
        <w:t>AD/dementia inconsistency</w:t>
      </w:r>
      <w:r>
        <w:rPr>
          <w:rFonts w:ascii="Times New Roman" w:hAnsi="Times New Roman"/>
          <w:b w:val="0"/>
          <w:i w:val="0"/>
        </w:rPr>
        <w:t xml:space="preserve"> across GWAS sources limits inference on dementia specifically.</w:t>
      </w:r>
    </w:p>
    <w:p>
      <w:pPr>
        <w:spacing w:before="0" w:after="0"/>
      </w:pPr>
      <w:r>
        <w:rPr>
          <w:rFonts w:ascii="Times New Roman" w:hAnsi="Times New Roman"/>
          <w:b w:val="0"/>
          <w:i w:val="0"/>
        </w:rPr>
        <w:t xml:space="preserve">4. </w:t>
      </w:r>
      <w:r>
        <w:rPr>
          <w:rFonts w:ascii="Times New Roman" w:hAnsi="Times New Roman"/>
          <w:b/>
          <w:i w:val="0"/>
        </w:rPr>
        <w:t>Sample overlap (UKB×UKB).</w:t>
      </w:r>
      <w:r>
        <w:rPr>
          <w:rFonts w:ascii="Times New Roman" w:hAnsi="Times New Roman"/>
          <w:b w:val="0"/>
          <w:i w:val="0"/>
        </w:rPr>
        <w:t xml:space="preserve"> The MCP exposure (Johnston 2019, UKB, n≈387,649) and the cognitive-performance outcome (</w:t>
      </w:r>
      <w:r>
        <w:rPr>
          <w:rFonts w:ascii="Courier New" w:hAnsi="Courier New"/>
          <w:b w:val="0"/>
          <w:i w:val="0"/>
        </w:rPr>
        <w:t>ebi-a-GCST006572</w:t>
      </w:r>
      <w:r>
        <w:rPr>
          <w:rFonts w:ascii="Times New Roman" w:hAnsi="Times New Roman"/>
          <w:b w:val="0"/>
          <w:i w:val="0"/>
        </w:rPr>
        <w:t xml:space="preserve">, UKB-derived, n=257,841) are </w:t>
      </w:r>
      <w:r>
        <w:rPr>
          <w:rFonts w:ascii="Times New Roman" w:hAnsi="Times New Roman"/>
          <w:b/>
          <w:i w:val="0"/>
        </w:rPr>
        <w:t>both UKB-sourced</w:t>
      </w:r>
      <w:r>
        <w:rPr>
          <w:rFonts w:ascii="Times New Roman" w:hAnsi="Times New Roman"/>
          <w:b w:val="0"/>
          <w:i w:val="0"/>
        </w:rPr>
        <w:t xml:space="preserve">, so direct sample overlap is present and cannot be excluded. Its magnitude cannot be precisely quantified from summary statistics alone, and the previous draft's claim that a "non-UKB COGENT cognition GWAS mitigates" this overlap is </w:t>
      </w:r>
      <w:r>
        <w:rPr>
          <w:rFonts w:ascii="Times New Roman" w:hAnsi="Times New Roman"/>
          <w:b/>
          <w:i w:val="0"/>
        </w:rPr>
        <w:t>incorrect</w:t>
      </w:r>
      <w:r>
        <w:rPr>
          <w:rFonts w:ascii="Times New Roman" w:hAnsi="Times New Roman"/>
          <w:b w:val="0"/>
          <w:i w:val="0"/>
        </w:rPr>
        <w:t xml:space="preserve"> — </w:t>
      </w:r>
      <w:r>
        <w:rPr>
          <w:rFonts w:ascii="Courier New" w:hAnsi="Courier New"/>
          <w:b w:val="0"/>
          <w:i w:val="0"/>
        </w:rPr>
        <w:t>ebi-a-GCST006572</w:t>
      </w:r>
      <w:r>
        <w:rPr>
          <w:rFonts w:ascii="Times New Roman" w:hAnsi="Times New Roman"/>
          <w:b w:val="0"/>
          <w:i w:val="0"/>
        </w:rPr>
        <w:t xml:space="preserve"> is itself UKB-derived. The MCP→cognitive-performance result must therefore be interpreted as </w:t>
      </w:r>
      <w:r>
        <w:rPr>
          <w:rFonts w:ascii="Times New Roman" w:hAnsi="Times New Roman"/>
          <w:b/>
          <w:i w:val="0"/>
        </w:rPr>
        <w:t>hypothesis-generating</w:t>
      </w:r>
      <w:r>
        <w:rPr>
          <w:rFonts w:ascii="Times New Roman" w:hAnsi="Times New Roman"/>
          <w:b w:val="0"/>
          <w:i w:val="0"/>
        </w:rPr>
        <w:t xml:space="preserve">. We did not substitute a non-UKB </w:t>
      </w:r>
      <w:r>
        <w:rPr>
          <w:rFonts w:ascii="Times New Roman" w:hAnsi="Times New Roman"/>
          <w:b w:val="0"/>
          <w:i/>
        </w:rPr>
        <w:t>cognitive-function</w:t>
      </w:r>
      <w:r>
        <w:rPr>
          <w:rFonts w:ascii="Times New Roman" w:hAnsi="Times New Roman"/>
          <w:b w:val="0"/>
          <w:i w:val="0"/>
        </w:rPr>
        <w:t xml:space="preserve"> GWAS as the headline: the only readily available non-overlapping cognitive GWAS (</w:t>
      </w:r>
      <w:r>
        <w:rPr>
          <w:rFonts w:ascii="Courier New" w:hAnsi="Courier New"/>
          <w:b w:val="0"/>
          <w:i w:val="0"/>
        </w:rPr>
        <w:t>ieu-a-16</w:t>
      </w:r>
      <w:r>
        <w:rPr>
          <w:rFonts w:ascii="Times New Roman" w:hAnsi="Times New Roman"/>
          <w:b w:val="0"/>
          <w:i w:val="0"/>
        </w:rPr>
        <w:t xml:space="preserve">, childhood intelligence, n=12,441) is underpowered, and the larger cognitive GWAS (Davies 2018, n=300,486; Savage 2018, n=269,867) themselves incorporate UKB and would not remove the overlap. Instead, we conducted a </w:t>
      </w:r>
      <w:r>
        <w:rPr>
          <w:rFonts w:ascii="Times New Roman" w:hAnsi="Times New Roman"/>
          <w:b/>
          <w:i w:val="0"/>
        </w:rPr>
        <w:t>non-UKB overlap-robustness re-interpretation</w:t>
      </w:r>
      <w:r>
        <w:rPr>
          <w:rFonts w:ascii="Times New Roman" w:hAnsi="Times New Roman"/>
          <w:b w:val="0"/>
          <w:i w:val="0"/>
        </w:rPr>
        <w:t xml:space="preserve"> (§3.1.1; the same FinnGen dementia and IGAP AD estimates as §3.1, re-framed as overlap-free) — both of which pointed in the same direction as the UKB cognition result, with the IGAP AD estimate significant (β=0.466, p=0.008). This corroborates the association independently of UKB overlap, although it speaks to dementia/AD </w:t>
      </w:r>
      <w:r>
        <w:rPr>
          <w:rFonts w:ascii="Times New Roman" w:hAnsi="Times New Roman"/>
          <w:b w:val="0"/>
          <w:i/>
        </w:rPr>
        <w:t>risk</w:t>
      </w:r>
      <w:r>
        <w:rPr>
          <w:rFonts w:ascii="Times New Roman" w:hAnsi="Times New Roman"/>
          <w:b w:val="0"/>
          <w:i w:val="0"/>
        </w:rPr>
        <w:t xml:space="preserve"> rather than the cognitive-performance </w:t>
      </w:r>
      <w:r>
        <w:rPr>
          <w:rFonts w:ascii="Times New Roman" w:hAnsi="Times New Roman"/>
          <w:b w:val="0"/>
          <w:i/>
        </w:rPr>
        <w:t>score</w:t>
      </w:r>
      <w:r>
        <w:rPr>
          <w:rFonts w:ascii="Times New Roman" w:hAnsi="Times New Roman"/>
          <w:b w:val="0"/>
          <w:i w:val="0"/>
        </w:rPr>
        <w:t xml:space="preserve"> itself; all-cause dementia remained non-significant. Overlap-robust methods (MR with sample-overlap correction / MRlap) are recommended as a future step to quantify the residual overlap bias directly.</w:t>
      </w:r>
    </w:p>
    <w:p>
      <w:pPr>
        <w:spacing w:before="0" w:after="0"/>
      </w:pPr>
      <w:r>
        <w:rPr>
          <w:rFonts w:ascii="Times New Roman" w:hAnsi="Times New Roman"/>
          <w:b w:val="0"/>
          <w:i w:val="0"/>
        </w:rPr>
        <w:t xml:space="preserve">5. </w:t>
      </w:r>
      <w:r>
        <w:rPr>
          <w:rFonts w:ascii="Times New Roman" w:hAnsi="Times New Roman"/>
          <w:b/>
          <w:i w:val="0"/>
        </w:rPr>
        <w:t>NHANES</w:t>
      </w:r>
      <w:r>
        <w:rPr>
          <w:rFonts w:ascii="Times New Roman" w:hAnsi="Times New Roman"/>
          <w:b w:val="0"/>
          <w:i w:val="0"/>
        </w:rPr>
        <w:t xml:space="preserve"> is descriptive and cycle-mismatched for pain→cognition; not causal.</w:t>
      </w:r>
    </w:p>
    <w:p>
      <w:pPr>
        <w:spacing w:before="0" w:after="0"/>
      </w:pPr>
      <w:r>
        <w:rPr>
          <w:rFonts w:ascii="Times New Roman" w:hAnsi="Times New Roman"/>
          <w:b w:val="0"/>
          <w:i w:val="0"/>
        </w:rPr>
        <w:t xml:space="preserve">6. </w:t>
      </w:r>
      <w:r>
        <w:rPr>
          <w:rFonts w:ascii="Times New Roman" w:hAnsi="Times New Roman"/>
          <w:b/>
          <w:i w:val="0"/>
        </w:rPr>
        <w:t>CHARLS</w:t>
      </w:r>
      <w:r>
        <w:rPr>
          <w:rFonts w:ascii="Times New Roman" w:hAnsi="Times New Roman"/>
          <w:b w:val="0"/>
          <w:i w:val="0"/>
        </w:rPr>
        <w:t xml:space="preserve"> primary longitudinal analysis is pending data access and not yet reported.</w:t>
      </w:r>
    </w:p>
    <w:p>
      <w:pPr>
        <w:spacing w:before="0" w:after="0"/>
      </w:pPr>
      <w:r>
        <w:rPr>
          <w:rFonts w:ascii="Times New Roman" w:hAnsi="Times New Roman"/>
          <w:b w:val="0"/>
          <w:i w:val="0"/>
        </w:rPr>
        <w:t xml:space="preserve">7. </w:t>
      </w:r>
      <w:r>
        <w:rPr>
          <w:rFonts w:ascii="Times New Roman" w:hAnsi="Times New Roman"/>
          <w:b/>
          <w:i w:val="0"/>
        </w:rPr>
        <w:t>Outlier robustness</w:t>
      </w:r>
      <w:r>
        <w:rPr>
          <w:rFonts w:ascii="Times New Roman" w:hAnsi="Times New Roman"/>
          <w:b w:val="0"/>
          <w:i w:val="0"/>
        </w:rPr>
        <w:t xml:space="preserve"> — MR-PRESSO / formal outlier re-estimation (specified in the SAP) could not be run because TwoSampleMR was unavailable; leave-one-out was used as the primary proxy.</w:t>
      </w:r>
    </w:p>
    <w:p>
      <w:pPr>
        <w:spacing w:before="0" w:after="0"/>
      </w:pPr>
      <w:r>
        <w:rPr>
          <w:rFonts w:ascii="Times New Roman" w:hAnsi="Times New Roman"/>
          <w:b w:val="0"/>
          <w:i w:val="0"/>
        </w:rPr>
        <w:t xml:space="preserve">8. </w:t>
      </w:r>
      <w:r>
        <w:rPr>
          <w:rFonts w:ascii="Times New Roman" w:hAnsi="Times New Roman"/>
          <w:b/>
          <w:i w:val="0"/>
        </w:rPr>
        <w:t>Multiple testing, ancestry, and power</w:t>
      </w:r>
      <w:r>
        <w:rPr>
          <w:rFonts w:ascii="Times New Roman" w:hAnsi="Times New Roman"/>
          <w:b w:val="0"/>
          <w:i w:val="0"/>
        </w:rPr>
        <w:t xml:space="preserve"> — no formal correction was applied (all p-values reported); all GWAS are European-ancestry, so estimates are European-specific and generalisation to other ancestries requires caution (CHARLS, Chinese, will permit a cross-ancestry check once available); the null dementia/AD and mediation results may reflect limited power of binary/distant outcomes rather than true nulls.</w:t>
      </w:r>
    </w:p>
    <w:p>
      <w:pPr>
        <w:spacing w:before="160" w:after="80"/>
      </w:pPr>
      <w:r>
        <w:rPr>
          <w:rFonts w:ascii="Times New Roman" w:hAnsi="Times New Roman"/>
          <w:b/>
          <w:i w:val="0"/>
          <w:sz w:val="24"/>
        </w:rPr>
        <w:t>5. Conclusion</w:t>
      </w:r>
    </w:p>
    <w:p>
      <w:pPr>
        <w:spacing w:before="0" w:after="0"/>
      </w:pPr>
      <w:r>
        <w:rPr>
          <w:rFonts w:ascii="Times New Roman" w:hAnsi="Times New Roman"/>
          <w:b w:val="0"/>
          <w:i w:val="0"/>
        </w:rPr>
        <w:t>Genetic evidence is compatible with an association between genetically predicted multisite chronic pain and lower cognitive performance, but the causal direction is uncertain (significant reverse MR; non-significant Steiger) and the cognitive-performance result is constrained by UKB sample overlap between exposure and outcome. A non-UKB overlap-robustness re-analysis (FinnGen dementia; IGAP AD — the same estimates as §3.1, re-framed as overlap-free) corroborated the direction and the IGAP AD estimate was significant, supporting the association independently of UKB overlap, although all-cause dementia was non-significant and replication is needed. No mediator was identified and the mechanism is unknown. These findings justify, but do not yet establish, pain as a modifiable contributor to cognitive health; confirmation awaits overlap-robust methods (MRlap) and the CHARLS longitudinal component.</w:t>
      </w:r>
    </w:p>
    <w:p>
      <w:pPr>
        <w:spacing w:before="120"/>
      </w:pPr>
      <w:r>
        <w:rPr>
          <w:b/>
        </w:rPr>
        <w:t xml:space="preserve">Author contributions. </w:t>
      </w:r>
      <w:r>
        <w:rPr>
          <w:rFonts w:ascii="Times New Roman" w:hAnsi="Times New Roman"/>
          <w:b w:val="0"/>
          <w:i w:val="0"/>
        </w:rPr>
        <w:t>Y.Y. conceived and designed the study, performed the statistical analyses, interpreted the results, and wrote the manuscript.</w:t>
      </w:r>
    </w:p>
    <w:p>
      <w:pPr>
        <w:spacing w:before="120"/>
      </w:pPr>
      <w:r>
        <w:rPr>
          <w:b/>
        </w:rPr>
        <w:t xml:space="preserve">Competing interests. </w:t>
      </w:r>
      <w:r>
        <w:rPr>
          <w:rFonts w:ascii="Times New Roman" w:hAnsi="Times New Roman"/>
          <w:b w:val="0"/>
          <w:i w:val="0"/>
        </w:rPr>
        <w:t>The author declares no competing interests.</w:t>
      </w:r>
    </w:p>
    <w:p>
      <w:pPr>
        <w:spacing w:before="120"/>
      </w:pPr>
      <w:r>
        <w:rPr>
          <w:b/>
        </w:rPr>
        <w:t xml:space="preserve">Data availability. </w:t>
      </w:r>
      <w:r>
        <w:rPr>
          <w:rFonts w:ascii="Times New Roman" w:hAnsi="Times New Roman"/>
          <w:b w:val="0"/>
          <w:i w:val="0"/>
        </w:rPr>
        <w:t>MR summary statistics are publicly available from the sources listed in the Methods (OpenGWAS/IEU, FinnGen, UK Biobank). NHANES data are available from the US CDC. CHARLS data are pending access approval (charls.pku.edu.cn). All derived analytic artifacts and analysis code are available at the project repository: https://github.com/yyx-4113/pain-cognition-mr.</w:t>
      </w:r>
    </w:p>
    <w:p>
      <w:pPr>
        <w:spacing w:before="120"/>
      </w:pPr>
      <w:r>
        <w:rPr>
          <w:b/>
        </w:rPr>
        <w:t xml:space="preserve">Funding. </w:t>
      </w:r>
      <w:r>
        <w:rPr>
          <w:rFonts w:ascii="Times New Roman" w:hAnsi="Times New Roman"/>
          <w:b w:val="0"/>
          <w:i w:val="0"/>
        </w:rPr>
        <w:t>The author received no specific funding for this work.</w:t>
      </w:r>
    </w:p>
    <w:p>
      <w:pPr>
        <w:spacing w:before="120"/>
      </w:pPr>
      <w:r>
        <w:rPr>
          <w:b/>
        </w:rPr>
        <w:t xml:space="preserve">Generative AI usage. </w:t>
      </w:r>
      <w:r>
        <w:rPr>
          <w:rFonts w:ascii="Times New Roman" w:hAnsi="Times New Roman"/>
          <w:b w:val="0"/>
          <w:i w:val="0"/>
        </w:rPr>
        <w:t>During manuscript preparation the author used a generative-AI research assistant (WorkBuddy) for editorial review, formatting, and figure-preparation support. The author reviewed and takes full responsibility for all content.</w:t>
      </w:r>
    </w:p>
    <w:p>
      <w:pPr>
        <w:spacing w:before="120"/>
      </w:pPr>
      <w:r>
        <w:rPr>
          <w:b/>
        </w:rPr>
        <w:t xml:space="preserve">Ethics. </w:t>
      </w:r>
      <w:r>
        <w:rPr>
          <w:rFonts w:ascii="Times New Roman" w:hAnsi="Times New Roman"/>
          <w:b w:val="0"/>
          <w:i w:val="0"/>
        </w:rPr>
        <w:t>This study used only published summary-level statistics and public, de-identified datasets; individual consent was not required.</w:t>
      </w:r>
    </w:p>
    <w:p>
      <w:pPr>
        <w:spacing w:before="160" w:after="80"/>
      </w:pPr>
      <w:r>
        <w:rPr>
          <w:rFonts w:ascii="Times New Roman" w:hAnsi="Times New Roman"/>
          <w:b/>
          <w:i w:val="0"/>
          <w:sz w:val="24"/>
        </w:rPr>
        <w:t>Reporting guidelines</w:t>
      </w:r>
    </w:p>
    <w:p>
      <w:pPr>
        <w:spacing w:before="0" w:after="0"/>
      </w:pPr>
      <w:r>
        <w:rPr>
          <w:rFonts w:ascii="Times New Roman" w:hAnsi="Times New Roman"/>
          <w:b w:val="0"/>
          <w:i w:val="0"/>
        </w:rPr>
        <w:t>Reporting guidelines. This study is reported in accordance with the STROBE-MR 2021 statement (Skrivankova et al., JAMA 2021;326(16):1614-1621). The completed item-by-item compliance checklist is provided as Supplementary Material.</w:t>
      </w:r>
    </w:p>
    <w:p>
      <w:pPr>
        <w:spacing w:before="160" w:after="80"/>
      </w:pPr>
      <w:r>
        <w:rPr>
          <w:rFonts w:ascii="Times New Roman" w:hAnsi="Times New Roman"/>
          <w:b/>
          <w:i w:val="0"/>
          <w:sz w:val="24"/>
        </w:rPr>
        <w:t>8. Figure captions</w:t>
      </w:r>
    </w:p>
    <w:p>
      <w:pPr>
        <w:spacing w:before="0" w:after="0"/>
      </w:pPr>
      <w:r>
        <w:rPr>
          <w:rFonts w:ascii="Times New Roman" w:hAnsi="Times New Roman"/>
          <w:b/>
          <w:i w:val="0"/>
        </w:rPr>
        <w:t>Figure 1. Two-sample Mendelian randomization estimates.</w:t>
      </w:r>
      <w:r>
        <w:rPr>
          <w:rFonts w:ascii="Times New Roman" w:hAnsi="Times New Roman"/>
          <w:b w:val="0"/>
          <w:i w:val="0"/>
        </w:rPr>
        <w:t xml:space="preserve"> Method-specific causal estimates (IVW, MR-Egger, weighted median) with 95% confidence intervals for five MR directions. Box area is proportional to 1/SE² (precision). Blue denotes a confidence interval excluding the null; gray denotes inclusion of the null. The dashed vertical line marks β=0. MCP, multisite chronic pain; AD, Alzheimer's disease; NS, not significant.</w:t>
      </w:r>
    </w:p>
    <w:p>
      <w:pPr>
        <w:spacing w:before="0" w:after="0"/>
      </w:pPr>
      <w:r>
        <w:rPr>
          <w:rFonts w:ascii="Times New Roman" w:hAnsi="Times New Roman"/>
          <w:b/>
          <w:i w:val="0"/>
        </w:rPr>
        <w:t>Figure 2. SNP-level associations for MCP → cognitive performance.</w:t>
      </w:r>
      <w:r>
        <w:rPr>
          <w:rFonts w:ascii="Times New Roman" w:hAnsi="Times New Roman"/>
          <w:b w:val="0"/>
          <w:i w:val="0"/>
        </w:rPr>
        <w:t xml:space="preserve"> Each point is one of 41 independent instrumental SNPs plotted by its effect on MCP (exposure, β_x) against its effect on cognitive performance (outcome, β_y). The solid red line is the inverse-variance-weighted slope through the origin (β = −0.361); the dashed green line is the MR-Egger fit with a free intercept (β = −0.362; slope equals the formal MR-Egger estimate in §3.1).</w:t>
      </w:r>
    </w:p>
    <w:p>
      <w:pPr>
        <w:spacing w:before="0" w:after="0"/>
      </w:pPr>
      <w:r>
        <w:rPr>
          <w:rFonts w:ascii="Times New Roman" w:hAnsi="Times New Roman"/>
          <w:b/>
          <w:i w:val="0"/>
        </w:rPr>
        <w:t>Figure 3. Leave-one-out sensitivity analysis (MCP → cognition).</w:t>
      </w:r>
      <w:r>
        <w:rPr>
          <w:rFonts w:ascii="Times New Roman" w:hAnsi="Times New Roman"/>
          <w:b w:val="0"/>
          <w:i w:val="0"/>
        </w:rPr>
        <w:t xml:space="preserve"> Each point is the IVW estimate recomputed with one SNP removed (95% confidence intervals); the dashed red line is the full-sample IVW estimate (−0.361). Estimates are stable across all 41 SNP omissions.</w:t>
      </w:r>
    </w:p>
    <w:p>
      <w:pPr>
        <w:spacing w:before="0" w:after="0"/>
      </w:pPr>
      <w:r>
        <w:rPr>
          <w:rFonts w:ascii="Times New Roman" w:hAnsi="Times New Roman"/>
          <w:b/>
          <w:i w:val="0"/>
        </w:rPr>
        <w:t>Figure 4. Funnel plot of per-SNP Wald ratios (MCP → cognition).</w:t>
      </w:r>
      <w:r>
        <w:rPr>
          <w:rFonts w:ascii="Times New Roman" w:hAnsi="Times New Roman"/>
          <w:b w:val="0"/>
          <w:i w:val="0"/>
        </w:rPr>
        <w:t xml:space="preserve"> The horizontal axis shows the per-SNP Wald ratio (cognition / MCP) and the vertical axis its standard error (inverted so that the most precise estimates lie at the top). The dashed red line marks the IVW estimate; gray dashed and dotted curves denote the 95% and 99% pseudo-confidence limits.</w:t>
      </w:r>
    </w:p>
    <w:p>
      <w:pPr>
        <w:spacing w:before="0" w:after="0"/>
      </w:pPr>
      <w:r>
        <w:rPr>
          <w:rFonts w:ascii="Times New Roman" w:hAnsi="Times New Roman"/>
          <w:b/>
          <w:i w:val="0"/>
        </w:rPr>
        <w:t>Figure 5. Non-UKB overlap-robustness re-interpretation (MCP → outcomes).</w:t>
      </w:r>
      <w:r>
        <w:rPr>
          <w:rFonts w:ascii="Times New Roman" w:hAnsi="Times New Roman"/>
          <w:b w:val="0"/>
          <w:i w:val="0"/>
        </w:rPr>
        <w:t xml:space="preserve"> Panel A: primary MCP→cognitive performance result (UKB-derived, overlap-limited; SD units). Panel B: two non-UKB disease outcomes — FinnGen all-cause dementia (Finnish biobank) and IGAP Alzheimer's disease (</w:t>
      </w:r>
      <w:r>
        <w:rPr>
          <w:rFonts w:ascii="Courier New" w:hAnsi="Courier New"/>
          <w:b w:val="0"/>
          <w:i w:val="0"/>
        </w:rPr>
        <w:t>ieu-a-297</w:t>
      </w:r>
      <w:r>
        <w:rPr>
          <w:rFonts w:ascii="Times New Roman" w:hAnsi="Times New Roman"/>
          <w:b w:val="0"/>
          <w:i w:val="0"/>
        </w:rPr>
        <w:t xml:space="preserve">, international consortium) — both free of UKB sample overlap with the MCP exposure (log-odds units). </w:t>
      </w:r>
      <w:r>
        <w:rPr>
          <w:rFonts w:ascii="Times New Roman" w:hAnsi="Times New Roman"/>
          <w:b w:val="0"/>
          <w:i/>
        </w:rPr>
        <w:t>The Panel B estimates are identical to those in §3.1 (All-cause dementia and AD — IGAP); only the overlap framing differs.</w:t>
      </w:r>
      <w:r>
        <w:rPr>
          <w:rFonts w:ascii="Times New Roman" w:hAnsi="Times New Roman"/>
          <w:b w:val="0"/>
          <w:i w:val="0"/>
        </w:rPr>
        <w:t xml:space="preserve"> All three point in the same direction (more multisite chronic pain → worse cognitive / higher dementia–AD risk); the IGAP AD estimate is significant (p=0.008). Axes are on different scales across panels (SD vs log-OR) and are not directly comparable in magnitude.</w:t>
      </w:r>
    </w:p>
    <w:p>
      <w:pPr>
        <w:spacing w:before="160" w:after="80"/>
      </w:pPr>
      <w:r>
        <w:rPr>
          <w:rFonts w:ascii="Times New Roman" w:hAnsi="Times New Roman"/>
          <w:b/>
          <w:i w:val="0"/>
          <w:sz w:val="24"/>
        </w:rPr>
        <w:t>References</w:t>
      </w:r>
    </w:p>
    <w:p>
      <w:pPr>
        <w:spacing w:before="0" w:after="0"/>
      </w:pPr>
      <w:r>
        <w:rPr>
          <w:rFonts w:ascii="Times New Roman" w:hAnsi="Times New Roman"/>
          <w:b w:val="0"/>
          <w:i w:val="0"/>
        </w:rPr>
        <w:t>References follow the Vancouver (ICMJE) style; every GWAS/method citation has been verified (journal, volume, pages, DOI, PMID). The CHARLS cohort citation [16] is included for the planned (pending-data) component.</w:t>
      </w:r>
    </w:p>
    <w:p>
      <w:pPr>
        <w:spacing w:before="0" w:after="0"/>
      </w:pPr>
      <w:r>
        <w:rPr>
          <w:rFonts w:ascii="Times New Roman" w:hAnsi="Times New Roman"/>
          <w:b w:val="0"/>
          <w:i w:val="0"/>
        </w:rPr>
        <w:t>1. Johnston KJA, Adams MJ, Nicholl BI, Ward J, Strawbridge RJ, Ferguson A, et al. Genome-wide association study of multisite chronic pain in UK Biobank. PLoS Genet. 2019;15(6):e1008164. doi:10.1371/journal.pgen.1008164. PMID:31194737.</w:t>
      </w:r>
    </w:p>
    <w:p>
      <w:pPr>
        <w:spacing w:before="0" w:after="0"/>
      </w:pPr>
      <w:r>
        <w:rPr>
          <w:rFonts w:ascii="Times New Roman" w:hAnsi="Times New Roman"/>
          <w:b w:val="0"/>
          <w:i w:val="0"/>
        </w:rPr>
        <w:t xml:space="preserve">2. Cognitive performance (1-standardised score), UK Biobank (n=257,841). OpenGWAS accession ebi-a-GCST006572. https://gwas.mrcieu.ac.uk/datasets/ebi-a-GCST006572/ (accessed 2026-09-20). Provenance note: the OpenGWAS/GWAS Catalog metadata for this accession misattributes it to Lee JJ et al. Gene discovery and polygenic prediction from a genome-wide association study of educational attainment in 1.1 million individuals. Nat Genet. 2018;50(8):1112-1121 (PMID 30038396) — an educational-attainment GWAS that is </w:t>
      </w:r>
      <w:r>
        <w:rPr>
          <w:rFonts w:ascii="Times New Roman" w:hAnsi="Times New Roman"/>
          <w:b/>
          <w:i w:val="0"/>
        </w:rPr>
        <w:t>not</w:t>
      </w:r>
      <w:r>
        <w:rPr>
          <w:rFonts w:ascii="Times New Roman" w:hAnsi="Times New Roman"/>
          <w:b w:val="0"/>
          <w:i w:val="0"/>
        </w:rPr>
        <w:t xml:space="preserve"> the source of these summary statistics; the effect estimates used here are the UK Biobank–derived cognitive-performance score, cited by trait and accession only.</w:t>
      </w:r>
    </w:p>
    <w:p>
      <w:pPr>
        <w:spacing w:before="0" w:after="0"/>
      </w:pPr>
      <w:r>
        <w:rPr>
          <w:rFonts w:ascii="Times New Roman" w:hAnsi="Times New Roman"/>
          <w:b w:val="0"/>
          <w:i w:val="0"/>
        </w:rPr>
        <w:t>3. Lambert JC, Ibrahim-Verbaas CA, Harold D, Naj AC, Sims R, Bellenguez C, et al.; European Alzheimer's Disease Initiative (EADI); Genetic and Environmental Risk in Alzheimer's Disease (GERAD); Alzheimer's Disease Genetic Consortium (ADGC); Cohorts for Heart and Aging Research in Genomic Epidemiology (CHARGE). Meta-analysis of 74,046 individuals identifies 11 new susceptibility loci for Alzheimer's disease. Nat Genet. 2013;45(12):1452-1458. doi:10.1038/ng.2802. PMID:24162737. (Underlies ieu-a-297, n=54,162, the dataset analysed here.)</w:t>
      </w:r>
    </w:p>
    <w:p>
      <w:pPr>
        <w:spacing w:before="0" w:after="0"/>
      </w:pPr>
      <w:r>
        <w:rPr>
          <w:rFonts w:ascii="Times New Roman" w:hAnsi="Times New Roman"/>
          <w:b w:val="0"/>
          <w:i w:val="0"/>
        </w:rPr>
        <w:t>4. Kunkle BW, Grenier-Boley B, Sims R, Bis JC, Damotte V, Naj AC, et al.; Alzheimer Disease Genetics Consortium (ADGC); European Alzheimer's Disease Initiative (EADI); Cohorts for Heart and Aging Research in Genomic Epidemiology Consortium (CHARGE); Genetic and Environmental Risk in AD/Defining Genetic, Polygenic and Environmental Risk for Alzheimer's Disease Consortium (GERAD/PERADES). Genetic meta-analysis of diagnosed Alzheimer's disease identifies new risk loci and implicates Aβ, tau, immunity and lipid processing. Nat Genet. 2019;51(3):414-430. doi:10.1038/s41588-019-0358-2. PMID:30820047.</w:t>
      </w:r>
    </w:p>
    <w:p>
      <w:pPr>
        <w:spacing w:before="0" w:after="0"/>
      </w:pPr>
      <w:r>
        <w:rPr>
          <w:rFonts w:ascii="Times New Roman" w:hAnsi="Times New Roman"/>
          <w:b w:val="0"/>
          <w:i w:val="0"/>
        </w:rPr>
        <w:t>5. Kurki MI, Karjalainen J, Palta P, Sipilä TP, Kristiansson K, Donner KM, et al.; FinnGen. FinnGen provides genetic insights from a well-phenotyped isolated population. Nature. 2023;613(7944):508-518. doi:10.1038/s41586-022-05473-8. PMID:36653562.</w:t>
      </w:r>
    </w:p>
    <w:p>
      <w:pPr>
        <w:spacing w:before="0" w:after="0"/>
      </w:pPr>
      <w:r>
        <w:rPr>
          <w:rFonts w:ascii="Times New Roman" w:hAnsi="Times New Roman"/>
          <w:b w:val="0"/>
          <w:i w:val="0"/>
        </w:rPr>
        <w:t>6. Howard DM, Adams MJ, Clarke TK, Hafferty JD, Gibson J, Shirali M, et al. Genome-wide meta-analysis of depression identifies 102 independent variants and highlights the importance of the prefrontal brain regions. Nat Neurosci. 2019;22(3):343-352. doi:10.1038/s41593-018-0326-7. PMID:30718901.</w:t>
      </w:r>
    </w:p>
    <w:p>
      <w:pPr>
        <w:spacing w:before="0" w:after="0"/>
      </w:pPr>
      <w:r>
        <w:rPr>
          <w:rFonts w:ascii="Times New Roman" w:hAnsi="Times New Roman"/>
          <w:b w:val="0"/>
          <w:i w:val="0"/>
        </w:rPr>
        <w:t>7. Said S, Pazoki R, Karhunen V, et al. Genetic analysis of over half a million people characterises C-reactive protein loci. Nat Commun. 2022;13:2198. doi:10.1038/s41467-022-29650-5. PMID:35459240.</w:t>
      </w:r>
    </w:p>
    <w:p>
      <w:pPr>
        <w:spacing w:before="0" w:after="0"/>
      </w:pPr>
      <w:r>
        <w:rPr>
          <w:rFonts w:ascii="Times New Roman" w:hAnsi="Times New Roman"/>
          <w:b w:val="0"/>
          <w:i w:val="0"/>
        </w:rPr>
        <w:t>8. Elsworth B, Lyon M, Alexander T, Liu Y, Matthews P, et al. The MRC IEU OpenGWAS data infrastructure. bioRxiv. 2020;2020.08.10.244293. doi:10.1101/2020.08.10.244293.</w:t>
      </w:r>
    </w:p>
    <w:p>
      <w:pPr>
        <w:spacing w:before="0" w:after="0"/>
      </w:pPr>
      <w:r>
        <w:rPr>
          <w:rFonts w:ascii="Times New Roman" w:hAnsi="Times New Roman"/>
          <w:b w:val="0"/>
          <w:i w:val="0"/>
        </w:rPr>
        <w:t>9. Hemani G, Zheng J, Elsworth B, Wade KH, Haberland V, Baird D, et al. The MR-Base platform supports systematic causal inference across the human phenome. eLife. 2018;7:e34408. doi:10.7554/eLife.34408. PMID:29846171.</w:t>
      </w:r>
    </w:p>
    <w:p>
      <w:pPr>
        <w:spacing w:before="0" w:after="0"/>
      </w:pPr>
      <w:r>
        <w:rPr>
          <w:rFonts w:ascii="Times New Roman" w:hAnsi="Times New Roman"/>
          <w:b w:val="0"/>
          <w:i w:val="0"/>
        </w:rPr>
        <w:t>10. Bowden J, Davey Smith G, Burgess S. Mendelian randomization with invalid instruments: effect estimation and bias detection through Egger regression. Int J Epidemiol. 2015;44(2):512-525. doi:10.1093/ije/dyv080. PMID:26050253.</w:t>
      </w:r>
    </w:p>
    <w:p>
      <w:pPr>
        <w:spacing w:before="0" w:after="0"/>
      </w:pPr>
      <w:r>
        <w:rPr>
          <w:rFonts w:ascii="Times New Roman" w:hAnsi="Times New Roman"/>
          <w:b w:val="0"/>
          <w:i w:val="0"/>
        </w:rPr>
        <w:t>11. Bowden J, Davey Smith G, Haycock PC, Burgess S. Consistent estimation in Mendelian randomization with some invalid instruments using a weighted median estimator. Genet Epidemiol. 2016;40(4):304-314. doi:10.1002/gepi.21965. PMID:27061298.</w:t>
      </w:r>
    </w:p>
    <w:p>
      <w:pPr>
        <w:spacing w:before="0" w:after="0"/>
      </w:pPr>
      <w:r>
        <w:rPr>
          <w:rFonts w:ascii="Times New Roman" w:hAnsi="Times New Roman"/>
          <w:b w:val="0"/>
          <w:i w:val="0"/>
        </w:rPr>
        <w:t>12. Burgess S, Butterworth A, Thompson SG. Mendelian randomization analysis with multiple genetic variants using summarized data. Genet Epidemiol. 2013;37(7):658-665. doi:10.1002/gepi.21758. PMID:24114802.</w:t>
      </w:r>
    </w:p>
    <w:p>
      <w:pPr>
        <w:spacing w:before="0" w:after="0"/>
      </w:pPr>
      <w:r>
        <w:rPr>
          <w:rFonts w:ascii="Times New Roman" w:hAnsi="Times New Roman"/>
          <w:b w:val="0"/>
          <w:i w:val="0"/>
        </w:rPr>
        <w:t>13. Skrivankova VW, Richmond RC, Woolf BAR, Yarmolinsky J, Davies NM, Swanson SA, et al. Strengthening the reporting of observational studies in epidemiology using Mendelian randomization: the STROBE-MR statement. JAMA. 2021;326(16):1614-1621. doi:10.1001/jama.2021.18236. PMID:34698778.</w:t>
      </w:r>
    </w:p>
    <w:p>
      <w:pPr>
        <w:spacing w:before="0" w:after="0"/>
      </w:pPr>
      <w:r>
        <w:rPr>
          <w:rFonts w:ascii="Times New Roman" w:hAnsi="Times New Roman"/>
          <w:b w:val="0"/>
          <w:i w:val="0"/>
        </w:rPr>
        <w:t>14. Carter AR, Sanderson E, Hammerton G, et al. Mendelian randomisation for mediation analysis: current methods and challenges for implementation. Eur J Epidemiol. 2021;36(5):465-478. doi:10.1007/s10654-021-00757-1. PMID:33988509.</w:t>
      </w:r>
    </w:p>
    <w:p>
      <w:pPr>
        <w:spacing w:before="0" w:after="0"/>
      </w:pPr>
      <w:r>
        <w:rPr>
          <w:rFonts w:ascii="Times New Roman" w:hAnsi="Times New Roman"/>
          <w:b w:val="0"/>
          <w:i w:val="0"/>
        </w:rPr>
        <w:t>15. Steiger JH. Tests for comparing elements of a correlation matrix. Psychol Bull. 1980;87(2):245-251.</w:t>
      </w:r>
    </w:p>
    <w:p>
      <w:pPr>
        <w:spacing w:before="0" w:after="0"/>
      </w:pPr>
      <w:r>
        <w:rPr>
          <w:rFonts w:ascii="Times New Roman" w:hAnsi="Times New Roman"/>
          <w:b w:val="0"/>
          <w:i w:val="0"/>
        </w:rPr>
        <w:t>16. Zhao Y, Hu Y, Smith JP, Strauss J, Yang G. Cohort profile: the China Health and Retirement Longitudinal Study (CHARLS). Int J Epidemiol. 2014;43(1):61-68. doi:10.1093/ije/dys203. PMID:24717586.</w:t>
      </w:r>
    </w:p>
    <w:p>
      <w:pPr>
        <w:spacing w:before="0" w:after="0"/>
      </w:pPr>
      <w:r>
        <w:rPr>
          <w:rFonts w:ascii="Times New Roman" w:hAnsi="Times New Roman"/>
          <w:b w:val="0"/>
          <w:i w:val="0"/>
        </w:rPr>
        <w:t>17. Centers for Disease Control and Prevention (CDC). National Health and Nutrition Examination Survey (NHANES) 2011-2018. Hyattsville, MD: US Department of Health and Human Services. https://www.cdc.gov/nchs/nhanes/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