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SimSun"/>
          <w:b/>
          <w:i w:val="0"/>
          <w:sz w:val="28"/>
        </w:rPr>
        <w:t>Author verification statement</w:t>
      </w:r>
    </w:p>
    <w:p>
      <w:pPr>
        <w:spacing w:after="120"/>
      </w:pPr>
      <w:r>
        <w:rPr>
          <w:rFonts w:ascii="Times New Roman" w:hAnsi="Times New Roman" w:eastAsia="SimSun"/>
          <w:b/>
          <w:i w:val="0"/>
          <w:sz w:val="22"/>
        </w:rPr>
        <w:t>Manuscript:</w:t>
      </w:r>
      <w:r>
        <w:rPr>
          <w:rFonts w:ascii="Times New Roman" w:hAnsi="Times New Roman" w:eastAsia="SimSun"/>
          <w:b w:val="0"/>
          <w:i w:val="0"/>
          <w:sz w:val="22"/>
        </w:rPr>
        <w:t xml:space="preserve"> "Underpowered at the animal level for composition and cell state: a power audit of 3-vs-3 hippocampal single-cell RNA-seq in postoperative neurocognitive dysfunction" (Original Laboratory Research Report, </w:t>
      </w:r>
      <w:r>
        <w:rPr>
          <w:rFonts w:ascii="Times New Roman" w:hAnsi="Times New Roman" w:eastAsia="SimSun"/>
          <w:b w:val="0"/>
          <w:i/>
          <w:sz w:val="22"/>
        </w:rPr>
        <w:t>Anesthesia &amp; Analgesia</w:t>
      </w:r>
      <w:r>
        <w:rPr>
          <w:rFonts w:ascii="Times New Roman" w:hAnsi="Times New Roman" w:eastAsia="SimSun"/>
          <w:b w:val="0"/>
          <w:i w:val="0"/>
          <w:sz w:val="22"/>
        </w:rPr>
        <w:t>, submitted).</w:t>
      </w:r>
    </w:p>
    <w:p>
      <w:pPr>
        <w:spacing w:after="120"/>
      </w:pPr>
      <w:r>
        <w:rPr>
          <w:rFonts w:ascii="Times New Roman" w:hAnsi="Times New Roman" w:eastAsia="SimSun"/>
          <w:b/>
          <w:i w:val="0"/>
          <w:sz w:val="22"/>
        </w:rPr>
        <w:t>Prepared by:</w:t>
      </w:r>
      <w:r>
        <w:rPr>
          <w:rFonts w:ascii="Times New Roman" w:hAnsi="Times New Roman" w:eastAsia="SimSun"/>
          <w:b w:val="0"/>
          <w:i w:val="0"/>
          <w:sz w:val="22"/>
        </w:rPr>
        <w:t xml:space="preserve"> Yongxin Yang (author) </w:t>
      </w:r>
      <w:r>
        <w:rPr>
          <w:rFonts w:ascii="Times New Roman" w:hAnsi="Times New Roman" w:eastAsia="SimSun"/>
          <w:b/>
          <w:i w:val="0"/>
          <w:sz w:val="22"/>
        </w:rPr>
        <w:t>Method of verification:</w:t>
      </w:r>
      <w:r>
        <w:rPr>
          <w:rFonts w:ascii="Times New Roman" w:hAnsi="Times New Roman" w:eastAsia="SimSun"/>
          <w:b w:val="0"/>
          <w:i w:val="0"/>
          <w:sz w:val="22"/>
        </w:rPr>
        <w:t xml:space="preserve"> every externally checkable claim in the manuscript was re-derived from the primary source with the scripts shipped in this repository, or re-checked against PubMed / the publisher record by identifier. No number was carried over from an earlier draft without re-derivation. </w:t>
      </w:r>
      <w:r>
        <w:rPr>
          <w:rFonts w:ascii="Times New Roman" w:hAnsi="Times New Roman" w:eastAsia="SimSun"/>
          <w:b/>
          <w:i w:val="0"/>
          <w:sz w:val="22"/>
        </w:rPr>
        <w:t>Date of verification:</w:t>
      </w:r>
      <w:r>
        <w:rPr>
          <w:rFonts w:ascii="Times New Roman" w:hAnsi="Times New Roman" w:eastAsia="SimSun"/>
          <w:b w:val="0"/>
          <w:i w:val="0"/>
          <w:sz w:val="22"/>
        </w:rPr>
        <w:t xml:space="preserve"> 14 September 2026; re-verified 15 September 2026 against the submitted revision, and re-checked 17 September 2026 against the editorial-check revision.</w:t>
      </w:r>
    </w:p>
    <w:p>
      <w:pPr>
        <w:spacing w:after="80" w:before="240"/>
      </w:pPr>
      <w:r>
        <w:rPr>
          <w:rFonts w:ascii="Times New Roman" w:hAnsi="Times New Roman" w:eastAsia="SimSun"/>
          <w:b/>
          <w:i w:val="0"/>
          <w:sz w:val="25"/>
        </w:rPr>
        <w:t>What was checked</w:t>
      </w:r>
    </w:p>
    <w:p>
      <w:pPr>
        <w:spacing w:after="60" w:before="160"/>
      </w:pPr>
      <w:r>
        <w:rPr>
          <w:rFonts w:ascii="Times New Roman" w:hAnsi="Times New Roman" w:eastAsia="SimSun"/>
          <w:b/>
          <w:i w:val="0"/>
          <w:sz w:val="23"/>
        </w:rPr>
        <w:t>1. Cell-type composition at the level of the animal (the manuscript's central analysis)</w:t>
      </w:r>
    </w:p>
    <w:p>
      <w:pPr>
        <w:spacing w:after="120"/>
      </w:pPr>
      <w:r>
        <w:rPr>
          <w:rFonts w:ascii="Consolas" w:hAnsi="Consolas" w:eastAsia="SimSun"/>
          <w:b w:val="0"/>
          <w:i w:val="0"/>
          <w:sz w:val="22"/>
        </w:rPr>
        <w:t>step5d_composition_animallevel.py</w:t>
      </w:r>
      <w:r>
        <w:rPr>
          <w:rFonts w:ascii="Times New Roman" w:hAnsi="Times New Roman" w:eastAsia="SimSun"/>
          <w:b w:val="0"/>
          <w:i w:val="0"/>
          <w:sz w:val="22"/>
        </w:rPr>
        <w:t xml:space="preserve"> was written as a clean reimplementation and its output compared against the table the manuscript was drafted from. Per-animal proportions, Welch p, Mann-Whitney U p, both BH columns, Cohen's d and the exact required-n column are </w:t>
      </w:r>
      <w:r>
        <w:rPr>
          <w:rFonts w:ascii="Times New Roman" w:hAnsi="Times New Roman" w:eastAsia="SimSun"/>
          <w:b/>
          <w:i w:val="0"/>
          <w:sz w:val="22"/>
        </w:rPr>
        <w:t>identical to 1e-15 relative</w:t>
      </w:r>
      <w:r>
        <w:rPr>
          <w:rFonts w:ascii="Times New Roman" w:hAnsi="Times New Roman" w:eastAsia="SimSun"/>
          <w:b w:val="0"/>
          <w:i w:val="0"/>
          <w:sz w:val="22"/>
        </w:rPr>
        <w:t xml:space="preserve"> across all nine cell types. Result: </w:t>
      </w:r>
      <w:r>
        <w:rPr>
          <w:rFonts w:ascii="Times New Roman" w:hAnsi="Times New Roman" w:eastAsia="SimSun"/>
          <w:b/>
          <w:i w:val="0"/>
          <w:sz w:val="22"/>
        </w:rPr>
        <w:t>0 of 9 cell types reach BH p&lt;0.05 at animal level</w:t>
      </w:r>
      <w:r>
        <w:rPr>
          <w:rFonts w:ascii="Times New Roman" w:hAnsi="Times New Roman" w:eastAsia="SimSun"/>
          <w:b w:val="0"/>
          <w:i w:val="0"/>
          <w:sz w:val="22"/>
        </w:rPr>
        <w:t xml:space="preserve"> (smallest BH = 0.34, ependymal). The largest effect is ependymal (10.7% to 3.6%, Welch p = 0.038) and microglia (39.5% to 48.0%, p = 0.14; per-animal values 42.8/33.2/42.4% control and 41.4/49.7/53.1% surgery; d = 1.50, requiring n = 9 per group at 80% power).</w:t>
      </w:r>
    </w:p>
    <w:p>
      <w:pPr>
        <w:spacing w:after="120"/>
      </w:pPr>
      <w:r>
        <w:rPr>
          <w:rFonts w:ascii="Times New Roman" w:hAnsi="Times New Roman" w:eastAsia="SimSun"/>
          <w:b w:val="0"/>
          <w:i w:val="0"/>
          <w:sz w:val="22"/>
        </w:rPr>
        <w:t xml:space="preserve">A reviewer can re-run this file and diff it against </w:t>
      </w:r>
      <w:r>
        <w:rPr>
          <w:rFonts w:ascii="Consolas" w:hAnsi="Consolas" w:eastAsia="SimSun"/>
          <w:b w:val="0"/>
          <w:i w:val="0"/>
          <w:sz w:val="22"/>
        </w:rPr>
        <w:t>sc_out/step5d_composition_animallevel.csv</w:t>
      </w:r>
      <w:r>
        <w:rPr>
          <w:rFonts w:ascii="Times New Roman" w:hAnsi="Times New Roman" w:eastAsia="SimSun"/>
          <w:b w:val="0"/>
          <w:i w:val="0"/>
          <w:sz w:val="22"/>
        </w:rPr>
        <w:t xml:space="preserve">. The column </w:t>
      </w:r>
      <w:r>
        <w:rPr>
          <w:rFonts w:ascii="Consolas" w:hAnsi="Consolas" w:eastAsia="SimSun"/>
          <w:b w:val="0"/>
          <w:i w:val="0"/>
          <w:sz w:val="22"/>
        </w:rPr>
        <w:t>req_n_per_group</w:t>
      </w:r>
      <w:r>
        <w:rPr>
          <w:rFonts w:ascii="Times New Roman" w:hAnsi="Times New Roman" w:eastAsia="SimSun"/>
          <w:b w:val="0"/>
          <w:i w:val="0"/>
          <w:sz w:val="22"/>
        </w:rPr>
        <w:t xml:space="preserve"> is the superseded normal approximation retained for traceability; </w:t>
      </w:r>
      <w:r>
        <w:rPr>
          <w:rFonts w:ascii="Consolas" w:hAnsi="Consolas" w:eastAsia="SimSun"/>
          <w:b w:val="0"/>
          <w:i w:val="0"/>
          <w:sz w:val="22"/>
        </w:rPr>
        <w:t>req_n_per_group_exact</w:t>
      </w:r>
      <w:r>
        <w:rPr>
          <w:rFonts w:ascii="Times New Roman" w:hAnsi="Times New Roman" w:eastAsia="SimSun"/>
          <w:b w:val="0"/>
          <w:i w:val="0"/>
          <w:sz w:val="22"/>
        </w:rPr>
        <w:t xml:space="preserve"> is the value the manuscript reports.</w:t>
      </w:r>
    </w:p>
    <w:p>
      <w:pPr>
        <w:spacing w:after="60" w:before="160"/>
      </w:pPr>
      <w:r>
        <w:rPr>
          <w:rFonts w:ascii="Times New Roman" w:hAnsi="Times New Roman" w:eastAsia="SimSun"/>
          <w:b/>
          <w:i w:val="0"/>
          <w:sz w:val="23"/>
        </w:rPr>
        <w:t>2. Composition at the pooled-cell level (for comparison only)</w:t>
      </w:r>
    </w:p>
    <w:p>
      <w:pPr>
        <w:spacing w:after="120"/>
      </w:pPr>
      <w:r>
        <w:rPr>
          <w:rFonts w:ascii="Consolas" w:hAnsi="Consolas" w:eastAsia="SimSun"/>
          <w:b w:val="0"/>
          <w:i w:val="0"/>
          <w:sz w:val="22"/>
        </w:rPr>
        <w:t>sc_out/sc_celltype_composition.csv</w:t>
      </w:r>
      <w:r>
        <w:rPr>
          <w:rFonts w:ascii="Times New Roman" w:hAnsi="Times New Roman" w:eastAsia="SimSun"/>
          <w:b w:val="0"/>
          <w:i w:val="0"/>
          <w:sz w:val="22"/>
        </w:rPr>
        <w:t xml:space="preserve"> holds the pooled-cell Fisher test that the literature uses. For the same six animals it returns BH p = 2.7e-27 (microglia) and 1.0e-87 (ependymal) against BH p = 0.47 and 0.34 at animal level. Both numbers were recomputed from </w:t>
      </w:r>
      <w:r>
        <w:rPr>
          <w:rFonts w:ascii="Consolas" w:hAnsi="Consolas" w:eastAsia="SimSun"/>
          <w:b w:val="0"/>
          <w:i w:val="0"/>
          <w:sz w:val="22"/>
        </w:rPr>
        <w:t>sc_out/GSE267933_processed.h5ad</w:t>
      </w:r>
      <w:r>
        <w:rPr>
          <w:rFonts w:ascii="Times New Roman" w:hAnsi="Times New Roman" w:eastAsia="SimSun"/>
          <w:b w:val="0"/>
          <w:i w:val="0"/>
          <w:sz w:val="22"/>
        </w:rPr>
        <w:t xml:space="preserve"> and are unchanged.</w:t>
      </w:r>
    </w:p>
    <w:p>
      <w:pPr>
        <w:spacing w:after="60" w:before="160"/>
      </w:pPr>
      <w:r>
        <w:rPr>
          <w:rFonts w:ascii="Times New Roman" w:hAnsi="Times New Roman" w:eastAsia="SimSun"/>
          <w:b/>
          <w:i w:val="0"/>
          <w:sz w:val="23"/>
        </w:rPr>
        <w:t>3. Cell state by two independent pseudobulk routes</w:t>
      </w:r>
    </w:p>
    <w:p>
      <w:pPr>
        <w:pStyle w:val="ListBullet"/>
        <w:spacing w:after="60"/>
      </w:pPr>
      <w:r>
        <w:rPr>
          <w:rFonts w:ascii="Times New Roman" w:hAnsi="Times New Roman" w:eastAsia="SimSun"/>
          <w:b w:val="0"/>
          <w:i w:val="0"/>
          <w:sz w:val="22"/>
        </w:rPr>
        <w:t xml:space="preserve">Welch on log1p pseudobulk means: </w:t>
      </w:r>
      <w:r>
        <w:rPr>
          <w:rFonts w:ascii="Times New Roman" w:hAnsi="Times New Roman" w:eastAsia="SimSun"/>
          <w:b/>
          <w:i w:val="0"/>
          <w:sz w:val="22"/>
        </w:rPr>
        <w:t>0 of 173,421</w:t>
      </w:r>
      <w:r>
        <w:rPr>
          <w:rFonts w:ascii="Times New Roman" w:hAnsi="Times New Roman" w:eastAsia="SimSun"/>
          <w:b w:val="0"/>
          <w:i w:val="0"/>
          <w:sz w:val="22"/>
        </w:rPr>
        <w:t xml:space="preserve"> tests reach FDR&lt;0.05 (</w:t>
      </w:r>
      <w:r>
        <w:rPr>
          <w:rFonts w:ascii="Consolas" w:hAnsi="Consolas" w:eastAsia="SimSun"/>
          <w:b w:val="0"/>
          <w:i w:val="0"/>
          <w:sz w:val="22"/>
        </w:rPr>
        <w:t>sc_out/step5c_genomewide_calibration.csv</w:t>
      </w:r>
      <w:r>
        <w:rPr>
          <w:rFonts w:ascii="Times New Roman" w:hAnsi="Times New Roman" w:eastAsia="SimSun"/>
          <w:b w:val="0"/>
          <w:i w:val="0"/>
          <w:sz w:val="22"/>
        </w:rPr>
        <w:t>, 19,269 genes x 9 cell types; the smallest raw p is 1e-5).</w:t>
      </w:r>
    </w:p>
    <w:p>
      <w:pPr>
        <w:pStyle w:val="ListBullet"/>
        <w:spacing w:after="60"/>
      </w:pPr>
      <w:r>
        <w:rPr>
          <w:rFonts w:ascii="Times New Roman" w:hAnsi="Times New Roman" w:eastAsia="SimSun"/>
          <w:b w:val="0"/>
          <w:i w:val="0"/>
          <w:sz w:val="22"/>
        </w:rPr>
        <w:t xml:space="preserve">limma-voom with edgeR TMM on integer pseudobulk counts (R 4.4.3, limma 3.62.2, edgeR 4.4.2): </w:t>
      </w:r>
      <w:r>
        <w:rPr>
          <w:rFonts w:ascii="Times New Roman" w:hAnsi="Times New Roman" w:eastAsia="SimSun"/>
          <w:b/>
          <w:i w:val="0"/>
          <w:sz w:val="22"/>
        </w:rPr>
        <w:t>11 of 72,204</w:t>
      </w:r>
      <w:r>
        <w:rPr>
          <w:rFonts w:ascii="Times New Roman" w:hAnsi="Times New Roman" w:eastAsia="SimSun"/>
          <w:b w:val="0"/>
          <w:i w:val="0"/>
          <w:sz w:val="22"/>
        </w:rPr>
        <w:t xml:space="preserve"> tests reach adjP&lt;0.05 (</w:t>
      </w:r>
      <w:r>
        <w:rPr>
          <w:rFonts w:ascii="Consolas" w:hAnsi="Consolas" w:eastAsia="SimSun"/>
          <w:b w:val="0"/>
          <w:i w:val="0"/>
          <w:sz w:val="22"/>
        </w:rPr>
        <w:t>sc_out/step5e_limma_voom_stats.csv</w:t>
      </w:r>
      <w:r>
        <w:rPr>
          <w:rFonts w:ascii="Times New Roman" w:hAnsi="Times New Roman" w:eastAsia="SimSun"/>
          <w:b w:val="0"/>
          <w:i w:val="0"/>
          <w:sz w:val="22"/>
        </w:rPr>
        <w:t>). The same 11 genes are obtained with and without TMM, so the result does not depend on the normalization choice.</w:t>
      </w:r>
    </w:p>
    <w:p>
      <w:pPr>
        <w:spacing w:after="60" w:before="160"/>
      </w:pPr>
      <w:r>
        <w:rPr>
          <w:rFonts w:ascii="Times New Roman" w:hAnsi="Times New Roman" w:eastAsia="SimSun"/>
          <w:b/>
          <w:i w:val="0"/>
          <w:sz w:val="23"/>
        </w:rPr>
        <w:t>4. Ambient-RNA attribution</w:t>
      </w:r>
    </w:p>
    <w:p>
      <w:pPr>
        <w:spacing w:after="120"/>
      </w:pPr>
      <w:r>
        <w:rPr>
          <w:rFonts w:ascii="Times New Roman" w:hAnsi="Times New Roman" w:eastAsia="SimSun"/>
          <w:b w:val="0"/>
          <w:i w:val="0"/>
          <w:sz w:val="22"/>
        </w:rPr>
        <w:t xml:space="preserve">Five of the eleven limma-voom hits are the single transcript </w:t>
      </w:r>
      <w:r>
        <w:rPr>
          <w:rFonts w:ascii="Consolas" w:hAnsi="Consolas" w:eastAsia="SimSun"/>
          <w:b w:val="0"/>
          <w:i w:val="0"/>
          <w:sz w:val="22"/>
        </w:rPr>
        <w:t>Ttr</w:t>
      </w:r>
      <w:r>
        <w:rPr>
          <w:rFonts w:ascii="Times New Roman" w:hAnsi="Times New Roman" w:eastAsia="SimSun"/>
          <w:b w:val="0"/>
          <w:i w:val="0"/>
          <w:sz w:val="22"/>
        </w:rPr>
        <w:t>. Its fold change is larger in cell types that barely express it (neuron, -5.70) than in its true source, ependymal cells (+16.3 log2CPM; -3.06). This pattern, not directed biology, is what the manuscript reports; no decontamination was applied and that is stated as a limitation.</w:t>
      </w:r>
    </w:p>
    <w:p>
      <w:pPr>
        <w:spacing w:after="60" w:before="160"/>
      </w:pPr>
      <w:r>
        <w:rPr>
          <w:rFonts w:ascii="Times New Roman" w:hAnsi="Times New Roman" w:eastAsia="SimSun"/>
          <w:b/>
          <w:i w:val="0"/>
          <w:sz w:val="23"/>
        </w:rPr>
        <w:t>5. Genome-wide false-positive calibration</w:t>
      </w:r>
    </w:p>
    <w:p>
      <w:pPr>
        <w:spacing w:after="120"/>
      </w:pPr>
      <w:r>
        <w:rPr>
          <w:rFonts w:ascii="Times New Roman" w:hAnsi="Times New Roman" w:eastAsia="SimSun"/>
          <w:b w:val="0"/>
          <w:i w:val="0"/>
          <w:sz w:val="22"/>
        </w:rPr>
        <w:t>For each of the nine cell types the number of genes with raw p&lt;0.05 was enumerated and compared with the null expectation (963.5 of 19,269). Seven of nine cell types produce fewer raw hits than expected under the null, i.e. the tests are conservative rather than anti-conservative. This is why the manuscript does not describe the single-cell negatives as biological negatives.</w:t>
      </w:r>
    </w:p>
    <w:p>
      <w:pPr>
        <w:spacing w:after="60" w:before="160"/>
      </w:pPr>
      <w:r>
        <w:rPr>
          <w:rFonts w:ascii="Times New Roman" w:hAnsi="Times New Roman" w:eastAsia="SimSun"/>
          <w:b/>
          <w:i w:val="0"/>
          <w:sz w:val="23"/>
        </w:rPr>
        <w:t>6. GSE267933 and GSE289098 are the same experiment</w:t>
      </w:r>
    </w:p>
    <w:p>
      <w:pPr>
        <w:spacing w:after="120"/>
      </w:pPr>
      <w:r>
        <w:rPr>
          <w:rFonts w:ascii="Times New Roman" w:hAnsi="Times New Roman" w:eastAsia="SimSun"/>
          <w:b w:val="0"/>
          <w:i w:val="0"/>
          <w:sz w:val="22"/>
        </w:rPr>
        <w:t xml:space="preserve">Both series report 20,684 cells, and per-sample barcode sets correspond 1:1 (the deposited barcode lists are shipped in this repository, </w:t>
      </w:r>
      <w:r>
        <w:rPr>
          <w:rFonts w:ascii="Consolas" w:hAnsi="Consolas" w:eastAsia="SimSun"/>
          <w:b w:val="0"/>
          <w:i w:val="0"/>
          <w:sz w:val="22"/>
        </w:rPr>
        <w:t>sc_out/step5g_same_data_two_entries.csv</w:t>
      </w:r>
      <w:r>
        <w:rPr>
          <w:rFonts w:ascii="Times New Roman" w:hAnsi="Times New Roman" w:eastAsia="SimSun"/>
          <w:b w:val="0"/>
          <w:i w:val="0"/>
          <w:sz w:val="22"/>
        </w:rPr>
        <w:t>, so the correspondence can be checked directly). The manuscript therefore treats the field as having one such experiment, not two.</w:t>
      </w:r>
    </w:p>
    <w:p>
      <w:pPr>
        <w:spacing w:after="60" w:before="160"/>
      </w:pPr>
      <w:r>
        <w:rPr>
          <w:rFonts w:ascii="Times New Roman" w:hAnsi="Times New Roman" w:eastAsia="SimSun"/>
          <w:b/>
          <w:i w:val="0"/>
          <w:sz w:val="23"/>
        </w:rPr>
        <w:t>7. References</w:t>
      </w:r>
    </w:p>
    <w:p>
      <w:pPr>
        <w:spacing w:after="120"/>
      </w:pPr>
      <w:r>
        <w:rPr>
          <w:rFonts w:ascii="Times New Roman" w:hAnsi="Times New Roman" w:eastAsia="SimSun"/>
          <w:b w:val="0"/>
          <w:i w:val="0"/>
          <w:sz w:val="22"/>
        </w:rPr>
        <w:t xml:space="preserve">All 19 entries were verified against PubMed or the publisher DOI (see the manuscript's DOI verification note). Corrections recorded there: [1] is </w:t>
      </w:r>
      <w:r>
        <w:rPr>
          <w:rFonts w:ascii="Times New Roman" w:hAnsi="Times New Roman" w:eastAsia="SimSun"/>
          <w:b w:val="0"/>
          <w:i/>
          <w:sz w:val="22"/>
        </w:rPr>
        <w:t>Anesth Analg</w:t>
      </w:r>
      <w:r>
        <w:rPr>
          <w:rFonts w:ascii="Times New Roman" w:hAnsi="Times New Roman" w:eastAsia="SimSun"/>
          <w:b w:val="0"/>
          <w:i w:val="0"/>
          <w:sz w:val="22"/>
        </w:rPr>
        <w:t xml:space="preserve"> 2018;127(2):496-505, [2] is </w:t>
      </w:r>
      <w:r>
        <w:rPr>
          <w:rFonts w:ascii="Times New Roman" w:hAnsi="Times New Roman" w:eastAsia="SimSun"/>
          <w:b w:val="0"/>
          <w:i/>
          <w:sz w:val="22"/>
        </w:rPr>
        <w:t>Glia</w:t>
      </w:r>
      <w:r>
        <w:rPr>
          <w:rFonts w:ascii="Times New Roman" w:hAnsi="Times New Roman" w:eastAsia="SimSun"/>
          <w:b w:val="0"/>
          <w:i w:val="0"/>
          <w:sz w:val="22"/>
        </w:rPr>
        <w:t xml:space="preserve"> 2013;61(1):71-90, [3] is </w:t>
      </w:r>
      <w:r>
        <w:rPr>
          <w:rFonts w:ascii="Times New Roman" w:hAnsi="Times New Roman" w:eastAsia="SimSun"/>
          <w:b w:val="0"/>
          <w:i/>
          <w:sz w:val="22"/>
        </w:rPr>
        <w:t>Ann Neurol</w:t>
      </w:r>
      <w:r>
        <w:rPr>
          <w:rFonts w:ascii="Times New Roman" w:hAnsi="Times New Roman" w:eastAsia="SimSun"/>
          <w:b w:val="0"/>
          <w:i w:val="0"/>
          <w:sz w:val="22"/>
        </w:rPr>
        <w:t xml:space="preserve"> 2011;70(6):986-995, [4] author list and DOI corrected, and the foundational C3 paper is Lian H </w:t>
      </w:r>
      <w:r>
        <w:rPr>
          <w:rFonts w:ascii="Times New Roman" w:hAnsi="Times New Roman" w:eastAsia="SimSun"/>
          <w:b w:val="0"/>
          <w:i/>
          <w:sz w:val="22"/>
        </w:rPr>
        <w:t>et al.</w:t>
      </w:r>
      <w:r>
        <w:rPr>
          <w:rFonts w:ascii="Times New Roman" w:hAnsi="Times New Roman" w:eastAsia="SimSun"/>
          <w:b w:val="0"/>
          <w:i w:val="0"/>
          <w:sz w:val="22"/>
        </w:rPr>
        <w:t xml:space="preserve">, </w:t>
      </w:r>
      <w:r>
        <w:rPr>
          <w:rFonts w:ascii="Times New Roman" w:hAnsi="Times New Roman" w:eastAsia="SimSun"/>
          <w:b w:val="0"/>
          <w:i/>
          <w:sz w:val="22"/>
        </w:rPr>
        <w:t>Neuron</w:t>
      </w:r>
      <w:r>
        <w:rPr>
          <w:rFonts w:ascii="Times New Roman" w:hAnsi="Times New Roman" w:eastAsia="SimSun"/>
          <w:b w:val="0"/>
          <w:i w:val="0"/>
          <w:sz w:val="22"/>
        </w:rPr>
        <w:t xml:space="preserve"> 2015;85(1):101-115 ([5]). Entries [17] to [19] were added during revision and each was resolved through Crossref before insertion ([18] was additionally corrected to its full citation, </w:t>
      </w:r>
      <w:r>
        <w:rPr>
          <w:rFonts w:ascii="Times New Roman" w:hAnsi="Times New Roman" w:eastAsia="SimSun"/>
          <w:b w:val="0"/>
          <w:i/>
          <w:sz w:val="22"/>
        </w:rPr>
        <w:t>J Neuroinflammation</w:t>
      </w:r>
      <w:r>
        <w:rPr>
          <w:rFonts w:ascii="Times New Roman" w:hAnsi="Times New Roman" w:eastAsia="SimSun"/>
          <w:b w:val="0"/>
          <w:i w:val="0"/>
          <w:sz w:val="22"/>
        </w:rPr>
        <w:t xml:space="preserve"> 2024;21(1):3216). Result: </w:t>
      </w:r>
      <w:r>
        <w:rPr>
          <w:rFonts w:ascii="Times New Roman" w:hAnsi="Times New Roman" w:eastAsia="SimSun"/>
          <w:b/>
          <w:i w:val="0"/>
          <w:sz w:val="22"/>
        </w:rPr>
        <w:t>19/19 resolve to a real record that supports the sentence citing it</w:t>
      </w:r>
      <w:r>
        <w:rPr>
          <w:rFonts w:ascii="Times New Roman" w:hAnsi="Times New Roman" w:eastAsia="SimSun"/>
          <w:b w:val="0"/>
          <w:i w:val="0"/>
          <w:sz w:val="22"/>
        </w:rPr>
        <w:t>. The author's companion commentary on sleep-deprivation pseudoreplication is disclosed in the manuscript's reference note as related work under review, not as a primary numbered source.</w:t>
      </w:r>
    </w:p>
    <w:p>
      <w:pPr>
        <w:spacing w:after="60" w:before="160"/>
      </w:pPr>
      <w:r>
        <w:rPr>
          <w:rFonts w:ascii="Times New Roman" w:hAnsi="Times New Roman" w:eastAsia="SimSun"/>
          <w:b/>
          <w:i w:val="0"/>
          <w:sz w:val="23"/>
        </w:rPr>
        <w:t>8. Data availability</w:t>
      </w:r>
    </w:p>
    <w:p>
      <w:pPr>
        <w:spacing w:after="120"/>
      </w:pPr>
      <w:r>
        <w:rPr>
          <w:rFonts w:ascii="Times New Roman" w:hAnsi="Times New Roman" w:eastAsia="SimSun"/>
          <w:b w:val="0"/>
          <w:i w:val="0"/>
          <w:sz w:val="22"/>
        </w:rPr>
        <w:t xml:space="preserve">GSE178995 is annotated as four </w:t>
      </w:r>
      <w:r>
        <w:rPr>
          <w:rFonts w:ascii="Consolas" w:hAnsi="Consolas" w:eastAsia="SimSun"/>
          <w:b w:val="0"/>
          <w:i w:val="0"/>
          <w:sz w:val="22"/>
        </w:rPr>
        <w:t>Sample_type = SRA</w:t>
      </w:r>
      <w:r>
        <w:rPr>
          <w:rFonts w:ascii="Times New Roman" w:hAnsi="Times New Roman" w:eastAsia="SimSun"/>
          <w:b w:val="0"/>
          <w:i w:val="0"/>
          <w:sz w:val="22"/>
        </w:rPr>
        <w:t xml:space="preserve"> samples with no processed matrix deposited; it therefore cannot enter expression-level meta-analysis and is excluded explicitly. All other datasets are public GEO deposits retrieved over HTTPS.</w:t>
      </w:r>
    </w:p>
    <w:p>
      <w:pPr>
        <w:spacing w:after="60" w:before="160"/>
      </w:pPr>
      <w:r>
        <w:rPr>
          <w:rFonts w:ascii="Times New Roman" w:hAnsi="Times New Roman" w:eastAsia="SimSun"/>
          <w:b/>
          <w:i w:val="0"/>
          <w:sz w:val="23"/>
        </w:rPr>
        <w:t>9. Four a-priori mechanism gene sets</w:t>
      </w:r>
    </w:p>
    <w:p>
      <w:pPr>
        <w:spacing w:after="120"/>
      </w:pPr>
      <w:r>
        <w:rPr>
          <w:rFonts w:ascii="Times New Roman" w:hAnsi="Times New Roman" w:eastAsia="SimSun"/>
          <w:b w:val="0"/>
          <w:i w:val="0"/>
          <w:sz w:val="22"/>
        </w:rPr>
        <w:t xml:space="preserve">The four gene sets (A complement/synaptic pruning; B broader glial/microglial activation including DAM; C mitochondrial OXPHOS; D myelin/oligodendrocyte) are listed with their curated members in </w:t>
      </w:r>
      <w:r>
        <w:rPr>
          <w:rFonts w:ascii="Consolas" w:hAnsi="Consolas" w:eastAsia="SimSun"/>
          <w:b w:val="0"/>
          <w:i w:val="0"/>
          <w:sz w:val="22"/>
        </w:rPr>
        <w:t>sc_out/mechanism_genesets.csv</w:t>
      </w:r>
      <w:r>
        <w:rPr>
          <w:rFonts w:ascii="Times New Roman" w:hAnsi="Times New Roman" w:eastAsia="SimSun"/>
          <w:b w:val="0"/>
          <w:i w:val="0"/>
          <w:sz w:val="22"/>
        </w:rPr>
        <w:t xml:space="preserve"> (A:173, B:119, C:149, D:76). The exact analyzable members (curated members present in the integrated bulk matrices) are provided in </w:t>
      </w:r>
      <w:r>
        <w:rPr>
          <w:rFonts w:ascii="Consolas" w:hAnsi="Consolas" w:eastAsia="SimSun"/>
          <w:b w:val="0"/>
          <w:i w:val="0"/>
          <w:sz w:val="22"/>
        </w:rPr>
        <w:t>sc_out/step2_pathway_sets.json</w:t>
      </w:r>
      <w:r>
        <w:rPr>
          <w:rFonts w:ascii="Times New Roman" w:hAnsi="Times New Roman" w:eastAsia="SimSun"/>
          <w:b w:val="0"/>
          <w:i w:val="0"/>
          <w:sz w:val="22"/>
        </w:rPr>
        <w:t xml:space="preserve"> (A:163, B:118, C:191, D:75). The bulk Stouffer meta-analysis uses these matrix-present members.</w:t>
      </w:r>
    </w:p>
    <w:p>
      <w:pPr>
        <w:spacing w:after="60" w:before="160"/>
      </w:pPr>
      <w:r>
        <w:rPr>
          <w:rFonts w:ascii="Times New Roman" w:hAnsi="Times New Roman" w:eastAsia="SimSun"/>
          <w:b/>
          <w:i w:val="0"/>
          <w:sz w:val="23"/>
        </w:rPr>
        <w:t>10. Self-reported counts</w:t>
      </w:r>
    </w:p>
    <w:p>
      <w:pPr>
        <w:spacing w:after="120"/>
      </w:pPr>
      <w:r>
        <w:rPr>
          <w:rFonts w:ascii="Times New Roman" w:hAnsi="Times New Roman" w:eastAsia="SimSun"/>
          <w:b w:val="0"/>
          <w:i w:val="0"/>
          <w:sz w:val="22"/>
        </w:rPr>
        <w:t>Text length (3,949 words including the figure list, 3,611 without it; both within the A&amp;A 4,000-word limit), structured abstract (389 words), figure/table count (4 main figures + 1 appendix table = 5 main items, ≤6; 3 online supplementary figures S1-S3 and Supplementary Table S1) and reference count (19) were recomputed from the manuscript source and the count scripts, not carried over.</w:t>
      </w:r>
    </w:p>
    <w:p>
      <w:pPr>
        <w:spacing w:after="60" w:before="160"/>
      </w:pPr>
      <w:r>
        <w:rPr>
          <w:rFonts w:ascii="Times New Roman" w:hAnsi="Times New Roman" w:eastAsia="SimSun"/>
          <w:b/>
          <w:i w:val="0"/>
          <w:sz w:val="23"/>
        </w:rPr>
        <w:t>11. Editorial check compliance (AA-D-26-01935)</w:t>
      </w:r>
    </w:p>
    <w:p>
      <w:pPr>
        <w:spacing w:after="120"/>
      </w:pPr>
      <w:r>
        <w:rPr>
          <w:rFonts w:ascii="Times New Roman" w:hAnsi="Times New Roman" w:eastAsia="SimSun"/>
          <w:b w:val="0"/>
          <w:i w:val="0"/>
          <w:sz w:val="22"/>
        </w:rPr>
        <w:t xml:space="preserve">The Editorial Office returned the submission for four changes, all of which have been made. The corresponding author's name is held in Editorial Manager in the English form Yongxin Yang (given name Yongxin, family name Yang). Every submitted file is in English: a Chinese revision log that had been rendered into the cover letter was removed, and the filename of every uploaded item is English. The manuscript file carries continuous page numbers in the footer. The author contribution statement was removed from the manuscript file at the Editorial Office's request; the author is the sole contributor, who conceived the study, performed all reanalyses, wrote the manuscript and approved the final version. Each of these is now gated by </w:t>
      </w:r>
      <w:r>
        <w:rPr>
          <w:rFonts w:ascii="Consolas" w:hAnsi="Consolas" w:eastAsia="SimSun"/>
          <w:b w:val="0"/>
          <w:i w:val="0"/>
          <w:sz w:val="22"/>
        </w:rPr>
        <w:t>verify_submission_docx.py</w:t>
      </w:r>
      <w:r>
        <w:rPr>
          <w:rFonts w:ascii="Times New Roman" w:hAnsi="Times New Roman" w:eastAsia="SimSun"/>
          <w:b w:val="0"/>
          <w:i w:val="0"/>
          <w:sz w:val="22"/>
        </w:rPr>
        <w:t xml:space="preserve"> (no non-English characters, a PAGE field present in the footer, and no author contribution statement in the manuscript).</w:t>
      </w:r>
    </w:p>
    <w:p>
      <w:pPr>
        <w:spacing w:after="80" w:before="240"/>
      </w:pPr>
      <w:r>
        <w:rPr>
          <w:rFonts w:ascii="Times New Roman" w:hAnsi="Times New Roman" w:eastAsia="SimSun"/>
          <w:b/>
          <w:i w:val="0"/>
          <w:sz w:val="25"/>
        </w:rPr>
        <w:t>Repository and persistent identifier</w:t>
      </w:r>
    </w:p>
    <w:p>
      <w:pPr>
        <w:spacing w:after="120"/>
      </w:pPr>
      <w:r>
        <w:rPr>
          <w:rFonts w:ascii="Times New Roman" w:hAnsi="Times New Roman" w:eastAsia="SimSun"/>
          <w:b w:val="0"/>
          <w:i w:val="0"/>
          <w:sz w:val="22"/>
        </w:rPr>
        <w:t>The analysis pipeline, all intermediate tables, the cached GEO records and matrices, the limma-voom fits, the four a-priori mechanism gene sets (</w:t>
      </w:r>
      <w:r>
        <w:rPr>
          <w:rFonts w:ascii="Consolas" w:hAnsi="Consolas" w:eastAsia="SimSun"/>
          <w:b w:val="0"/>
          <w:i w:val="0"/>
          <w:sz w:val="22"/>
        </w:rPr>
        <w:t>sc_out/mechanism_genesets.csv</w:t>
      </w:r>
      <w:r>
        <w:rPr>
          <w:rFonts w:ascii="Times New Roman" w:hAnsi="Times New Roman" w:eastAsia="SimSun"/>
          <w:b w:val="0"/>
          <w:i w:val="0"/>
          <w:sz w:val="22"/>
        </w:rPr>
        <w:t xml:space="preserve">, </w:t>
      </w:r>
      <w:r>
        <w:rPr>
          <w:rFonts w:ascii="Consolas" w:hAnsi="Consolas" w:eastAsia="SimSun"/>
          <w:b w:val="0"/>
          <w:i w:val="0"/>
          <w:sz w:val="22"/>
        </w:rPr>
        <w:t>sc_out/step2_pathway_sets.json</w:t>
      </w:r>
      <w:r>
        <w:rPr>
          <w:rFonts w:ascii="Times New Roman" w:hAnsi="Times New Roman" w:eastAsia="SimSun"/>
          <w:b w:val="0"/>
          <w:i w:val="0"/>
          <w:sz w:val="22"/>
        </w:rPr>
        <w:t xml:space="preserve">) and the figure-generation scripts are assembled as a version-controlled bundle under the MIT licence and are public at https://github.com/yyx-4113/pocd-hippocampal-power-audit (release </w:t>
      </w:r>
      <w:r>
        <w:rPr>
          <w:rFonts w:ascii="Times New Roman" w:hAnsi="Times New Roman" w:eastAsia="SimSun"/>
          <w:b/>
          <w:i w:val="0"/>
          <w:sz w:val="22"/>
        </w:rPr>
        <w:t>v1.2.0</w:t>
      </w:r>
      <w:r>
        <w:rPr>
          <w:rFonts w:ascii="Times New Roman" w:hAnsi="Times New Roman" w:eastAsia="SimSun"/>
          <w:b w:val="0"/>
          <w:i w:val="0"/>
          <w:sz w:val="22"/>
        </w:rPr>
        <w:t>). Large re-downloadable objects (</w:t>
      </w:r>
      <w:r>
        <w:rPr>
          <w:rFonts w:ascii="Consolas" w:hAnsi="Consolas" w:eastAsia="SimSun"/>
          <w:b w:val="0"/>
          <w:i w:val="0"/>
          <w:sz w:val="22"/>
        </w:rPr>
        <w:t>GSE267933_RAW.tar</w:t>
      </w:r>
      <w:r>
        <w:rPr>
          <w:rFonts w:ascii="Times New Roman" w:hAnsi="Times New Roman" w:eastAsia="SimSun"/>
          <w:b w:val="0"/>
          <w:i w:val="0"/>
          <w:sz w:val="22"/>
        </w:rPr>
        <w:t xml:space="preserve">, </w:t>
      </w:r>
      <w:r>
        <w:rPr>
          <w:rFonts w:ascii="Consolas" w:hAnsi="Consolas" w:eastAsia="SimSun"/>
          <w:b w:val="0"/>
          <w:i w:val="0"/>
          <w:sz w:val="22"/>
        </w:rPr>
        <w:t>.h5ad</w:t>
      </w:r>
      <w:r>
        <w:rPr>
          <w:rFonts w:ascii="Times New Roman" w:hAnsi="Times New Roman" w:eastAsia="SimSun"/>
          <w:b w:val="0"/>
          <w:i w:val="0"/>
          <w:sz w:val="22"/>
        </w:rPr>
        <w:t xml:space="preserve"> objects) are excluded and regenerated by the scripts; the retrieval route is documented in </w:t>
      </w:r>
      <w:r>
        <w:rPr>
          <w:rFonts w:ascii="Consolas" w:hAnsi="Consolas" w:eastAsia="SimSun"/>
          <w:b w:val="0"/>
          <w:i w:val="0"/>
          <w:sz w:val="22"/>
        </w:rPr>
        <w:t>README.md</w:t>
      </w:r>
      <w:r>
        <w:rPr>
          <w:rFonts w:ascii="Times New Roman" w:hAnsi="Times New Roman" w:eastAsia="SimSun"/>
          <w:b w:val="0"/>
          <w:i w:val="0"/>
          <w:sz w:val="22"/>
        </w:rPr>
        <w:t>. A persistent Zenodo DOI will be added to this file and to the manuscript's data availability statement on acceptance.</w:t>
      </w:r>
    </w:p>
    <w:p>
      <w:pPr>
        <w:spacing w:after="120"/>
      </w:pPr>
      <w:r>
        <w:rPr>
          <w:rFonts w:ascii="Times New Roman" w:hAnsi="Times New Roman" w:eastAsia="SimSun"/>
          <w:b/>
          <w:i w:val="0"/>
          <w:sz w:val="22"/>
        </w:rPr>
        <w:t>Signed:</w:t>
      </w:r>
      <w:r>
        <w:rPr>
          <w:rFonts w:ascii="Times New Roman" w:hAnsi="Times New Roman" w:eastAsia="SimSun"/>
          <w:b w:val="0"/>
          <w:i w:val="0"/>
          <w:sz w:val="22"/>
        </w:rPr>
        <w:t xml:space="preserve"> Yongxin Yang </w:t>
      </w:r>
      <w:r>
        <w:rPr>
          <w:rFonts w:ascii="Times New Roman" w:hAnsi="Times New Roman" w:eastAsia="SimSun"/>
          <w:b/>
          <w:i w:val="0"/>
          <w:sz w:val="22"/>
        </w:rPr>
        <w:t>Date:</w:t>
      </w:r>
      <w:r>
        <w:rPr>
          <w:rFonts w:ascii="Times New Roman" w:hAnsi="Times New Roman" w:eastAsia="SimSun"/>
          <w:b w:val="0"/>
          <w:i w:val="0"/>
          <w:sz w:val="22"/>
        </w:rPr>
        <w:t xml:space="preserve"> 14 September 2026 (re-verified 15 September 2026; editorial-check revision 17 September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t xml:space="preserve">Page </w:t>
    </w:r>
    <w:fldSimple w:instr="PAGE" w:dirty="true">
      <w:r>
        <w:rPr>
          <w:rFonts w:ascii="Times New Roman" w:hAnsi="Times New Roman" w:eastAsia="SimSun"/>
          <w:sz w:val="18"/>
        </w:rPr>
        <w:t>1</w:t>
      </w:r>
    </w:fldSimple>
    <w:r>
      <w:rPr>
        <w:rFonts w:ascii="Times New Roman" w:hAnsi="Times New Roman"/>
        <w:sz w:val="18"/>
      </w:rPr>
      <w:t xml:space="preserve"> of </w:t>
    </w:r>
    <w:fldSimple w:instr="NUMPAGES" w:dirty="true">
      <w:r>
        <w:rPr>
          <w:rFonts w:ascii="Times New Roman" w:hAnsi="Times New Roman" w:eastAsia="SimSun"/>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