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 two-axis hypothesis for postoperative delirium: APOE ε4 constitutive susceptibility and a peripheral immune state axis supported by multi-omics integration, with an in-silico, hypothesis-generating drug-repositioning screen</w:t>
      </w:r>
    </w:p>
    <w:p>
      <w:r>
        <w:t># A two-axis hypothesis for postoperative delirium: APOE ε4 constitutive susceptibility and a peripheral immune state axis supported by multi-omics integration, with an in-silico, hypothesis-generating drug-repositioning screen</w:t>
      </w:r>
    </w:p>
    <w:p>
      <w:r>
        <w:rPr>
          <w:b/>
        </w:rPr>
        <w:t>Yongxin Yang</w:t>
      </w:r>
      <w:r>
        <w:t>^1^✉</w:t>
      </w:r>
    </w:p>
    <w:p>
      <w:r>
        <w:t>^1^ Department of Anesthesiology, The Second Affiliated Hospital of Fujian University of Traditional Chinese Medicine, Fuzhou, Fujian 350003, China</w:t>
      </w:r>
    </w:p>
    <w:p>
      <w:r>
        <w:t>✉ Corresponding author: 960856791@qq.com | ORCID: 0009-0004-9698-6552</w:t>
      </w:r>
    </w:p>
    <w:p>
      <w:r>
        <w:t>---</w:t>
      </w:r>
    </w:p>
    <w:p>
      <w:pPr>
        <w:pStyle w:val="Heading1"/>
      </w:pPr>
      <w:r>
        <w:t>Abstract</w:t>
      </w:r>
    </w:p>
    <w:p>
      <w:r>
        <w:t>## Abstract</w:t>
      </w:r>
    </w:p>
    <w:p>
      <w:r>
        <w:rPr>
          <w:b/>
        </w:rPr>
        <w:t>Background.</w:t>
      </w:r>
      <w:r>
        <w:t xml:space="preserve"> Postoperative delirium (POD) is common and morbid, but its molecular architecture is unresolved. A peripheral innate-immune activation state is widely hypothesised, yet it has never been triangulated against constitutive APOE ε4 susceptibility within a single multi-omics framework.</w:t>
      </w:r>
    </w:p>
    <w:p>
      <w:r>
        <w:rPr>
          <w:b/>
        </w:rPr>
        <w:t>Methods.</w:t>
      </w:r>
      <w:r>
        <w:t xml:space="preserve"> We integrated four public layers: a blood transcriptome (GSE163943, n = 8); pre/post-operative PBMC single-cell RNA-seq (GSE252572); pre/post-operative blood methylation (GSE330869, 65 paired POD cases, EPIC v2), recomputed in-house; and a POD GWAS (1,016 cases / 139,148 controls; *PLOS Medicine* 2026). Repositioning used LINCS L1000 consensus signatures in chemical-perturbation and CRISPR-knockout arms, with pre-specified positive controls and a size-matched empirical null. Cell composition was estimated by reference-based deconvolution and entered as a covariate in sensitivity analyses.</w:t>
      </w:r>
    </w:p>
    <w:p>
      <w:r>
        <w:rPr>
          <w:b/>
        </w:rPr>
        <w:t>Results.</w:t>
      </w:r>
      <w:r>
        <w:t xml:space="preserve"> (1) Immune genes were directionally elevated in POD blood (MWU p = 0.0079). (2) The GWAS was driven by APOE ε4 (rs429358, OR = 1.75 per ε4 isoform and 4.19 for two copies, P = 1.4 × 10⁻²⁹; 37 SNPs genome-wide-significant, all on chromosome 19, of which Armstrong reported 7 conditionally-independent lead SNPs); off chromosome 19 the immune gene set was null (p = 0.277), and the genetic data are agnostic on dissociation between the two axes because GWAS captures germline variant–disease association rather than downstream transcriptional mediation. (3) On the immune-restricted signature, the glucocorticoid class passed its positive-control test at the class level (p = 0.041; whole-transcriptome arm marginal, p = 0.056); six IFNγ perturbations reversed the signature (best FDR = 1.9 × 10⁻⁴), partly tautologically given the ISG-dominated signature. (4) Single-cell PBMC showed no proportion shift (minimum p = 0.229) and that the methylation anchors TMIGD3 and ADORA3 are unexpressed in PBMC. (5) Six DMPs reached FDR &lt; 0.05; a directional probe-set test shifted (Set-1 signed t, MWU p = 0.041), whereas a separate |t|-based enrichment was abolished by composition adjustment (p = 0.72). This directional p = 0.041 is reported as hypothesis-generating and not yet composition-validated (see Limitations). Deconvolution recovered the canonical post-operative leucocyte shift (neutrophils +3.4 pp across references, p ≈ 10⁻³) and removed 46–61% of DMRs, so the methylation immune signal is substantially composition-associated.</w:t>
      </w:r>
    </w:p>
    <w:p>
      <w:r>
        <w:rPr>
          <w:b/>
        </w:rPr>
        <w:t>Conclusions.</w:t>
      </w:r>
      <w:r>
        <w:t xml:space="preserve"> POD is most parsimoniously *modelled* by a working two-axis hypothesis: a constitutive APOE ε4 susceptibility axis plus a candidate, perioperatively triggerable peripheral immune activation state axis; the genetic dissociation between the axes is not directly testable from GWAS alone and is supported only indirectly (and weakly) by the transcriptomic and pharmacologic layers. The state axis is candidate-modifiable, requiring interventional confirmation; repositioning supplies hypotheses, not efficacy evidence. We report null and negative results transparently and treat the screen as hypothesis-generating.</w:t>
      </w:r>
    </w:p>
    <w:p>
      <w:r>
        <w:rPr>
          <w:b/>
        </w:rPr>
        <w:t>Keywords:</w:t>
      </w:r>
      <w:r>
        <w:t xml:space="preserve"> postoperative delirium; APOE ε4; innate immunity; multi-omics; LINCS L1000; drug repositioning; virtual knockout; genome-wide association study</w:t>
      </w:r>
    </w:p>
    <w:p>
      <w:r>
        <w:t>---</w:t>
      </w:r>
    </w:p>
    <w:p>
      <w:pPr>
        <w:pStyle w:val="Heading1"/>
      </w:pPr>
      <w:r>
        <w:t>Background</w:t>
      </w:r>
    </w:p>
    <w:p>
      <w:r>
        <w:t>## Background</w:t>
      </w:r>
    </w:p>
    <w:p>
      <w:r>
        <w:t>Postoperative delirium (POD) affects 10–50% of older surgical patients and is associated with longer hospital stays, cognitive decline, and mortality [1,29,30,39]. POD (acute, days) is clinically distinct from postoperative cognitive dysfunction (POCD, subacute/chronic, weeks–months); this paper concerns POD, and POCD/PND are cited only as best-available proxies where POD-specific evidence is absent. Despite its prevalence, mechanism-guided prevention is lacking [30]. Two non-exclusive lines of evidence dominate the literature. First, a state of innate-immune activation—peripheral leukocyte transcriptional reprogramming, cytokine release, and blood–brain barrier disruption—has been repeatedly observed around the time of surgery [2,19,36], and neuroinflammation is now viewed as a core, therapeutically actionable POD mechanism [35]. Blood–brain barrier breakdown accompanying surgery correlates with delirium and with cerebrospinal-fluid inflammatory and metabolic changes [21,37]. Second, the APOE ε4 allele, the principal genetic risk factor for Alzheimer's disease, is a replicated epidemiological risk factor for short-/medium-term postoperative cognitive dysfunction (POCD) [3] (the same meta-analysis reported a non-significant POD subgroup association: OR 1.28, 95% CI 0.85–1.91, p = 0.23), and in the largest POD-specific GWAS to date APOE ε4 is the dominant genetic signal for POD [7]; APOE isoforms shape the human glial transcriptome in aging and Alzheimer's disease [25], and astrocyte-derived APOE4 impairs the blood–brain barrier [28]. A two-hit framework is increasingly used to organise these observations—a pre-existing vulnerability (e.g. APOE ε4, ageing) plus a perioperative second hit (surgery, anaesthesia, innate-immune activation) [27,40]. Peripheral immune signals reach the brain through multiple routes, including leucocyte subset shifts and cytokine transport [36]; purinergic signalling through adenosine receptors modulates microglial and neuroinflammatory responses [20,23,24]; and the kynurenine pathway has also been implicated [31]. Consistent with a peripheral leucocyte contribution, preoperative and early postoperative neutrophil-to-lymphocyte ratio and other inflammatory markers have been associated with POD [18,33,34]—noting that [18] is a mixed critical-illness meta-analysis whose surgical-POD subgroup estimate (WMD 1.14) is much weaker than its ICU subgroup (4.22), limiting direct inference to elective surgical POD.</w:t>
      </w:r>
    </w:p>
    <w:p>
      <w:r>
        <w:t>What has been missing is a framework that places these two observations in the same causal graph. Are they the same axis (APOE ε4 acts *through* immune activation), or two independent axes (constitutive susceptibility plus a separately triggerable immune state)? Resolving this matters for therapeutics: if they are one axis, immune-modulating drugs would merely track a fixed genotype; if they are two axes, immune modulation is a genuine, modifiable target.</w:t>
      </w:r>
    </w:p>
    <w:p>
      <w:r>
        <w:t>We addressed this using a multi-omics integration strategy anchored on publicly available POD datasets, an in-silico drug-repositioning screen against the LINCS L1000 resource (chemical and virtual-knockout arms), and genetic confirmation from a large POD GWAS. Critically, we fixed our analytic decisions and positive controls *a priori* (documented in the version-controlled analysis repository, with its commit history) rather than after seeing results, and we report null and negative findings without rescue. No formal registry entry (e.g. OSF) was created, and we therefore avoid the term “pre-registered” in its formal sense.</w:t>
      </w:r>
    </w:p>
    <w:p>
      <w:r>
        <w:t>---</w:t>
      </w:r>
    </w:p>
    <w:p>
      <w:pPr>
        <w:pStyle w:val="Heading1"/>
      </w:pPr>
      <w:r>
        <w:t>Methods</w:t>
      </w:r>
    </w:p>
    <w:p>
      <w:r>
        <w:t>## Methods</w:t>
      </w:r>
    </w:p>
    <w:p>
      <w:pPr>
        <w:pStyle w:val="Heading2"/>
      </w:pPr>
      <w:r>
        <w:t>Datasets</w:t>
      </w:r>
    </w:p>
    <w:p>
      <w:r>
        <w:t>### Datasets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t>Layer</w:t>
            </w:r>
          </w:p>
        </w:tc>
        <w:tc>
          <w:tcPr>
            <w:tcW w:type="dxa" w:w="2160"/>
          </w:tcPr>
          <w:p>
            <w:r/>
            <w:r>
              <w:t>Accession</w:t>
            </w:r>
          </w:p>
        </w:tc>
        <w:tc>
          <w:tcPr>
            <w:tcW w:type="dxa" w:w="2160"/>
          </w:tcPr>
          <w:p>
            <w:r/>
            <w:r>
              <w:t>Design</w:t>
            </w:r>
          </w:p>
        </w:tc>
        <w:tc>
          <w:tcPr>
            <w:tcW w:type="dxa" w:w="2160"/>
          </w:tcPr>
          <w:p>
            <w:r/>
            <w:r>
              <w:t>Role</w:t>
            </w:r>
          </w:p>
        </w:tc>
      </w:tr>
      <w:tr>
        <w:tc>
          <w:tcPr>
            <w:tcW w:type="dxa" w:w="2160"/>
          </w:tcPr>
          <w:p>
            <w:r/>
            <w:r>
              <w:t>Transcriptome</w:t>
            </w:r>
          </w:p>
        </w:tc>
        <w:tc>
          <w:tcPr>
            <w:tcW w:type="dxa" w:w="2160"/>
          </w:tcPr>
          <w:p>
            <w:r/>
            <w:r>
              <w:t>GSE163943 (Song 2021 [5], *Front Aging Neurosci*)</w:t>
            </w:r>
          </w:p>
        </w:tc>
        <w:tc>
          <w:tcPr>
            <w:tcW w:type="dxa" w:w="2160"/>
          </w:tcPr>
          <w:p>
            <w:r/>
            <w:r>
              <w:t>Whole blood, 4 POD vs 4 non-POD, Agilent Arraystar lncRNA V5 (GPL26963)</w:t>
            </w:r>
          </w:p>
        </w:tc>
        <w:tc>
          <w:tcPr>
            <w:tcW w:type="dxa" w:w="2160"/>
          </w:tcPr>
          <w:p>
            <w:r/>
            <w:r>
              <w:t>Immune gene-set enrichment; disease signature for LINCS</w:t>
            </w:r>
          </w:p>
        </w:tc>
      </w:tr>
      <w:tr>
        <w:tc>
          <w:tcPr>
            <w:tcW w:type="dxa" w:w="2160"/>
          </w:tcPr>
          <w:p>
            <w:r/>
            <w:r>
              <w:t>scRNA-seq</w:t>
            </w:r>
          </w:p>
        </w:tc>
        <w:tc>
          <w:tcPr>
            <w:tcW w:type="dxa" w:w="2160"/>
          </w:tcPr>
          <w:p>
            <w:r/>
            <w:r>
              <w:t>GSE252572 [4]</w:t>
            </w:r>
          </w:p>
        </w:tc>
        <w:tc>
          <w:tcPr>
            <w:tcW w:type="dxa" w:w="2160"/>
          </w:tcPr>
          <w:p>
            <w:r/>
            <w:r>
              <w:t>PBMC, 4 patients × pre + post-24h (7 of 8 libraries usable; 1 corrupted)</w:t>
            </w:r>
          </w:p>
        </w:tc>
        <w:tc>
          <w:tcPr>
            <w:tcW w:type="dxa" w:w="2160"/>
          </w:tcPr>
          <w:p>
            <w:r/>
            <w:r>
              <w:t>Cell-type localisation of anchors</w:t>
            </w:r>
          </w:p>
        </w:tc>
      </w:tr>
      <w:tr>
        <w:tc>
          <w:tcPr>
            <w:tcW w:type="dxa" w:w="2160"/>
          </w:tcPr>
          <w:p>
            <w:r/>
            <w:r>
              <w:t>Methylation</w:t>
            </w:r>
          </w:p>
        </w:tc>
        <w:tc>
          <w:tcPr>
            <w:tcW w:type="dxa" w:w="2160"/>
          </w:tcPr>
          <w:p>
            <w:r/>
            <w:r>
              <w:t>GSE330869 (Seki 2026 [6], *Transl Psychiatry*, PMID 42143058)</w:t>
            </w:r>
          </w:p>
        </w:tc>
        <w:tc>
          <w:tcPr>
            <w:tcW w:type="dxa" w:w="2160"/>
          </w:tcPr>
          <w:p>
            <w:r/>
            <w:r>
              <w:t>Blood, 65 POD cases paired pre/post, EPIC v2 (GPL33022)</w:t>
            </w:r>
          </w:p>
        </w:tc>
        <w:tc>
          <w:tcPr>
            <w:tcW w:type="dxa" w:w="2160"/>
          </w:tcPr>
          <w:p>
            <w:r/>
            <w:r>
              <w:t>Within-POD pre→post DMP + directional immune-probe test (in-house R/Bioconductor); benchmark vs Seki 2026</w:t>
            </w:r>
          </w:p>
        </w:tc>
      </w:tr>
      <w:tr>
        <w:tc>
          <w:tcPr>
            <w:tcW w:type="dxa" w:w="2160"/>
          </w:tcPr>
          <w:p>
            <w:r/>
            <w:r>
              <w:t>GWAS</w:t>
            </w:r>
          </w:p>
        </w:tc>
        <w:tc>
          <w:tcPr>
            <w:tcW w:type="dxa" w:w="2160"/>
          </w:tcPr>
          <w:p>
            <w:r/>
            <w:r>
              <w:t>Armstrong 2026 POD GWAS [7] (Armstrong et al., *PLOS Medicine* 2026, DOI 10.1371/journal.pmed.1004963, PMID 41770756; summary-statistics data DOI 10.5523/bris.1m83zai2e26yq2lro3tixz9kqq; UKB delirium, 1,016 cases / 139,148 controls)</w:t>
            </w:r>
          </w:p>
        </w:tc>
        <w:tc>
          <w:tcPr>
            <w:tcW w:type="dxa" w:w="2160"/>
          </w:tcPr>
          <w:p>
            <w:r/>
            <w:r>
              <w:t>Case–control</w:t>
            </w:r>
          </w:p>
        </w:tc>
        <w:tc>
          <w:tcPr>
            <w:tcW w:type="dxa" w:w="2160"/>
          </w:tcPr>
          <w:p>
            <w:r/>
            <w:r>
              <w:t>APOE ε4 effect; immune gene-set test</w:t>
            </w:r>
          </w:p>
        </w:tc>
      </w:tr>
    </w:tbl>
    <w:p>
      <w:pPr>
        <w:pStyle w:val="Heading2"/>
      </w:pPr>
      <w:r>
        <w:t>Pre/post-operative blood methylation (Layer A)</w:t>
      </w:r>
    </w:p>
    <w:p>
      <w:r>
        <w:t>### Pre/post-operative blood methylation (Layer A)</w:t>
      </w:r>
    </w:p>
    <w:p>
      <w:r>
        <w:t xml:space="preserve">GSE330869 provides 65 POD cases each with paired pre- and post-operative peripheral-blood EPIC v2 methylation profiles (130 samples); GEO deposition contains POD cases only (no non-delirium controls), so the analysable signal is the surgery-induced shift *within* POD. We recomputed this layer in-house (R/Bioconductor). Cell composition was estimated by reference-based deconvolution (Houseman 2012 [10]; EpiDISH centCAB100i centroids [12]; CIBERSORT as a cross-check [13]) and entered as a covariate in the sensitivity analyses below. Autosomal, gene-mapped probes (n = 312,514) were taken forward. Paired differential methylation used limma empirical-Bayes moderation with patient as a blocking factor; a differential methylation probe (DMP) required FDR &lt; 0.05 and |Δβ| &gt; 0.05. Two immune gene sets are used in this paper and should not be conflated. </w:t>
      </w:r>
      <w:r>
        <w:rPr>
          <w:b/>
        </w:rPr>
        <w:t>Set 1</w:t>
      </w:r>
      <w:r>
        <w:t xml:space="preserve"> (Layer A, methylation, directional probe test): a curated NF-κB/leukocyte set of 49 genes, contributing 737 probes on the EPIC v2 array retained here. </w:t>
      </w:r>
      <w:r>
        <w:rPr>
          <w:b/>
        </w:rPr>
        <w:t>Set 2</w:t>
      </w:r>
      <w:r>
        <w:t xml:space="preserve"> (Layer B, transcriptome; also used for DMR gene-body mapping and for the composition-adjusted probe analysis): a broader 83-gene innate-immune set (see Layer B), contributing 1,195 probes on the retained EPIC v2 array. To test whether the immune axis is reflected in methylation beyond the few genome-wide DMPs, we performed a *directional* probe-level test mirroring Layer B: a two-sided Mann–Whitney U test on the distribution of within-POD pre→post limma t-statistics of Set-1 immune-gene probes (n = 737) versus all background probes (the direction is read from the sign of the statistic, not from a one-tailed test). An elastic-net within-subject methylation autoregression (WMA; glmnet, α = 0.5, 10-fold CV) related pre-operative immune-probe M-values to post-operative immune-probe M-values (cross-validated R² reported strictly as a within-subject retest descriptor of immune-methylation profile stability across surgery — </w:t>
      </w:r>
      <w:r>
        <w:rPr>
          <w:b/>
        </w:rPr>
        <w:t>not</w:t>
      </w:r>
      <w:r>
        <w:t xml:space="preserve"> as a methylation risk score predicting a phenotype, which the within-POD paired design here cannot supply). Differentially methylated regions (DMRs) were called with </w:t>
      </w:r>
      <w:r>
        <w:rPr>
          <w:b/>
        </w:rPr>
        <w:t>bumphunter</w:t>
      </w:r>
      <w:r>
        <w:t xml:space="preserve"> on the M-value scale (|ΔM| ≥ 0.05, length ≥ 3 probes); bumphunter was run with </w:t>
      </w:r>
      <w:r>
        <w:rPr>
          <w:b/>
        </w:rPr>
        <w:t>B = 0</w:t>
      </w:r>
      <w:r>
        <w:t xml:space="preserve"> (no permutation), so DMR counts are descriptive without empirical FDR control and should not be read as controlled counts. Two distinct composition-adjustment covariate sets were used and must not be conflated: (a) at the </w:t>
      </w:r>
      <w:r>
        <w:rPr>
          <w:b/>
        </w:rPr>
        <w:t>probe level</w:t>
      </w:r>
      <w:r>
        <w:t xml:space="preserve">, paired ΔM was regressed on the estimated change in neutrophils, lymphocytes, and monocytes (the classic three-lineage covariate); (b) at the </w:t>
      </w:r>
      <w:r>
        <w:rPr>
          <w:b/>
        </w:rPr>
        <w:t>DMR level</w:t>
      </w:r>
      <w:r>
        <w:t xml:space="preserve">, the bumphunter design additionally entered neutrophils, eosinophils, and basophils (granulocyte-subtype covariates, since eosinophils and basophils are sub-lineages rather than independent lineages). The two covariate sets therefore probe different biology and yield different attenuation magnitudes (see Results). Two caveats are material: (i) Day0/Day3 time points are not encoded in the GEO matrix header, so the WMA uses all post-operative profiles rather than a Day0-only baseline subgroup; (ii) DMR calling was performed with </w:t>
      </w:r>
      <w:r>
        <w:rPr>
          <w:b/>
        </w:rPr>
        <w:t>bumphunter</w:t>
      </w:r>
      <w:r>
        <w:t xml:space="preserve"> (minfi/Bioconductor, loadable here) rather than DMRcate, because DMRcate's compiled dependency segfaults on load under R 4.4.3 / ucrt and this environment has no Rtools to recompile it — bumphunter was run with </w:t>
      </w:r>
      <w:r>
        <w:rPr>
          <w:b/>
        </w:rPr>
        <w:t>B = 0 (no permutation)</w:t>
      </w:r>
      <w:r>
        <w:t xml:space="preserve">, so its DMRs are *descriptive* (no empirical FDR) and are used as a supportive regional view, not a genome-wide claim; (iii) cell-type composition was estimated by reference-based deconvolution implemented in </w:t>
      </w:r>
      <w:r>
        <w:rPr>
          <w:b/>
        </w:rPr>
        <w:t>Python</w:t>
      </w:r>
      <w:r>
        <w:t xml:space="preserve">, using the reference centroids bundled inside the already-installed `EpiDISH` package (`centBloodSub.m` 188x7, `centDHSbloodDMC.m` 333x7, `cent12CT.m` and `cent12CT450k.m` 600x12, and `centCAB100i.m` 1906x19). This route requires neither the platform manifest nor network access, so it is reproducible wherever `EpiDISH` and numpy/scipy/scikit-learn are present, and it supersedes the earlier manifest-dependent plan. Reference matrices were exported to text and solved as a constrained linear mixture on beta values (Houseman et al. 2012 [10]; solver comparison as in Teschendorff et al. 2017 [11]) (w_k &gt;= 0, sum w_k = 1) by four solvers - NNLS with an explicit sum-to-one penalty, NNLS with post-hoc normalisation, linear nu-SVR (CIBERSORT-style), and Tukey-biweight iteratively reweighted least squares (RPC-style); all four agreed within ~1 percentage point for the dominant lineages. Because the deposited beta matrix retains only 312,514 rows (~33% of EPIC v2 probes), each reference contributed only 66-641 informative probes after intersection. </w:t>
      </w:r>
      <w:r>
        <w:rPr>
          <w:b/>
        </w:rPr>
        <w:t>This restricted row coverage - not any probe-identifier mismatch - is the binding constraint</w:t>
      </w:r>
      <w:r>
        <w:t xml:space="preserve">, which is why five independent references were run rather than one. Fit was high throughout (mean R2 = 0.90-0.97; Pearson r = 0.95-0.98 between observed and mixture-predicted beta). Subtype-level fractions (e.g. CD4T naive vs memory, Treg) are </w:t>
      </w:r>
      <w:r>
        <w:rPr>
          <w:b/>
        </w:rPr>
        <w:t>not identifiable</w:t>
      </w:r>
      <w:r>
        <w:t xml:space="preserve"> owing to strong collinearity among lymphoid centroids; only lineage-level estimates (granulocyte/neutrophil, total lymphoid, monocyte) are interpreted. (iv) To test whether the pre-&gt;post immune methylation signal is independent of the estimated composition shift, each probe's paired delta-M (n = 65 subjects) was regressed on the subject-level change in estimated neutrophil fraction, and in a second model jointly on the changes in neutrophil, total-lymphoid and monocyte fractions; the intercept t-statistics from these models were then fed into the same immune-versus-background competitive test used for the unadjusted analysis. At the DMR level the same covariates were entered into the bumphunter design: because the model was fitted on per-subject paired M-value differences, subject effects cancel exactly, so the intercept estimates the composition-adjusted mean change without subject dummy variables; covariates were the per-subject change in estimated neutrophil fraction, and in a second model the neutrophil, eosinophil and basophil changes jointly (total-lymphoid and monocyte changes were not entered together with the neutrophil change because the closed composition makes them nearly dependent). DMRs were called with the same settings throughout (|coefficient| &gt;= 0.05, length &gt;= 3 probes, B = 0).</w:t>
      </w:r>
    </w:p>
    <w:p>
      <w:r>
        <w:t xml:space="preserve">Differentially methylated regions were called with bumphunter using </w:t>
      </w:r>
      <w:r>
        <w:rPr>
          <w:b/>
        </w:rPr>
        <w:t>B = 0 (no bootstrap permutation)</w:t>
      </w:r>
      <w:r>
        <w:t xml:space="preserve">, so DMR counts are descriptive and carry no empirical FDR control; they are reported as hypothesis-generating regional context only. Paired neutrophil estimates are taken from `analysis/layerA_deconv_summary.csv` (rows where celltype = aNeu/Neutro and config = centCAB100i_a12), with per-sample fractions in `analysis/layerA_cell_proportions_python.csv`. (The file `analysis/results/GSE330869/layerA_cell_proportions.csv` is a degenerate centBloodSub NNLS output — Neu/CD4T collapsed to 0 — and is </w:t>
      </w:r>
      <w:r>
        <w:rPr>
          <w:b/>
        </w:rPr>
        <w:t>not</w:t>
      </w:r>
      <w:r>
        <w:t xml:space="preserve"> the source of the reported neutrophil Δ, which is reproduced from `layerA_deconv_summary.csv`.)</w:t>
      </w:r>
    </w:p>
    <w:p>
      <w:pPr>
        <w:pStyle w:val="Heading2"/>
      </w:pPr>
      <w:r>
        <w:t>Transcriptomic immune gene-set enrichment (Layer B)</w:t>
      </w:r>
    </w:p>
    <w:p>
      <w:r>
        <w:t>### Transcriptomic immune gene-set enrichment (Layer B)</w:t>
      </w:r>
    </w:p>
    <w:p>
      <w:r>
        <w:t xml:space="preserve">Raw GSE163943 was processed with limma empirical Bayes moderation (44,824 probes tested; 4,146 at nominal p &lt; 0.05 without fold-change cutoff; n_up = 737, n_down = 996 at nominal p &lt; 0.05 </w:t>
      </w:r>
      <w:r>
        <w:rPr>
          <w:b/>
        </w:rPr>
        <w:t>and</w:t>
      </w:r>
      <w:r>
        <w:t xml:space="preserve"> |log2FC| ≥ 0.585 (1.5-fold); 0 at FDR &lt; 0.05, reflecting the n = 8 sample size). To test whether immune genes were *directionally* shifted, we defined an immune gene set (n = 83 genes present on the array) and compared the distribution of moderated t-statistics of immune genes versus the 44,741 background genes with a two-sided Mann–Whitney U test. An unweighted one-sample t-test on immune-gene t-values tested mean non-zero shift; this is conservative when per-gene variances are heterogeneous (as is the case here, n = 4 v 4), so the resulting p-value is read as a lower bound on the directional signal rather than a powerful test of mean shift. The 48 up- and 35 down-regulated immune genes (nominal p &lt; 0.05 and |log2FC| ≥ 0.585; 47/34 after gene-symbol reconciliation) were carried forward as the immune-restricted disease signature for LINCS; only the subset of these genes with non-empty LINCS L1000 consensus signatures enters the overlap enrichment, so the effective screenable signature is materially smaller than the 83-gene input set.</w:t>
      </w:r>
    </w:p>
    <w:p>
      <w:pPr>
        <w:pStyle w:val="Heading2"/>
      </w:pPr>
      <w:r>
        <w:t>Single-cell PBMC localisation (Layer C)</w:t>
      </w:r>
    </w:p>
    <w:p>
      <w:r>
        <w:t>### Single-cell PBMC localisation (Layer C)</w:t>
      </w:r>
    </w:p>
    <w:p>
      <w:r>
        <w:t xml:space="preserve">Seven usable 10x libraries from GSE252572 were filtered (QC), log-normalised (CPM + log1p), passed to highly-variable-gene selection, SVD, and K-means (k = 12). </w:t>
      </w:r>
      <w:r>
        <w:rPr>
          <w:b/>
        </w:rPr>
        <w:t>Crucially, clustering was performed on the pooled 52,912-cell matrix, not per-sample</w:t>
      </w:r>
      <w:r>
        <w:t>, so that cluster identities are comparable across samples (a per-sample clustering error was detected and corrected during analysis). Clusters were annotated by classic marker scoring. Cell-type proportions were compared across POD status at the *sample* level (Mann–Whitney U) to avoid pseudoreplication.</w:t>
      </w:r>
    </w:p>
    <w:p>
      <w:pPr>
        <w:pStyle w:val="Heading2"/>
      </w:pPr>
      <w:r>
        <w:t>In-silico drug repositioning (Layer D)</w:t>
      </w:r>
    </w:p>
    <w:p>
      <w:r>
        <w:t>### In-silico drug repositioning (Layer D)</w:t>
      </w:r>
    </w:p>
    <w:p>
      <w:r>
        <w:t xml:space="preserve">Drug and CRISPR-knockout perturbation signatures were the LINCS L1000 consensus gene sets [8,9,32] distributed as Enrichr libraries (chemical up/down, ligand up/down, CRISPR-KO consensus, GEO-based). Disease signature DisUp (up in POD) and DisDown (down in POD). Reversal of a perturbation = its down-set enriched for DisUp </w:t>
      </w:r>
      <w:r>
        <w:rPr>
          <w:b/>
        </w:rPr>
        <w:t>and/or</w:t>
      </w:r>
      <w:r>
        <w:t xml:space="preserve"> its up-set enriched for DisDown. Strength was scored by Fisher-exact overlap (one-sided, greater) against the LINCS gene universe, combined by Fisher's method (χ², 4 df), with Benjamini–Hochberg FDR across all signatures. An empirical size-matched null (3,000 permutations) yielded z-scores and empirical p-values.</w:t>
      </w:r>
    </w:p>
    <w:p>
      <w:r>
        <w:rPr>
          <w:b/>
        </w:rPr>
        <w:t>Chemical arm.</w:t>
      </w:r>
      <w:r>
        <w:t xml:space="preserve"> Perturbagens = small molecules (the Enrichr *chemical* library, n = 1,069) </w:t>
      </w:r>
      <w:r>
        <w:rPr>
          <w:b/>
        </w:rPr>
        <w:t>and</w:t>
      </w:r>
      <w:r>
        <w:t xml:space="preserve"> cytokine *ligand* perturbations (the Enrichr *ligand* library, n = 96). These two sub-libraries are analysed separately below and must not be conflated: the term "drug-level FDR hits" refers to whichever sub-library is named, and the small-molecule chemical arm and the cytokine ligand arm have distinct hit counts.</w:t>
      </w:r>
    </w:p>
    <w:p>
      <w:r>
        <w:rPr>
          <w:b/>
        </w:rPr>
        <w:t>Virtual-knockout arm.</w:t>
      </w:r>
      <w:r>
        <w:t xml:space="preserve"> CRISPR-KO consensus terms are "GENE Up" / "GENE Down" (~240 genes each). Knockout of a driver gene should reverse the disease signature exactly like a therapeutic perturbation; we therefore scored each gene's KO exactly as a chemical perturbation.</w:t>
      </w:r>
    </w:p>
    <w:p>
      <w:r>
        <w:rPr>
          <w:b/>
        </w:rPr>
        <w:t>A-priori (pre-specified) positive controls.</w:t>
      </w:r>
      <w:r>
        <w:t xml:space="preserve"> Glucocorticoids and immunosuppressants (dexamethasone, hydrocortisone, prednisolone, budesonide, cyclosporine, sirolimus, tacrolimus, statins, NSAIDs, …) must pass the class-level permutation test (p &lt; 0.05) and/or rank individual drugs in the top percentile; if neither, the screen is reported as failed. (The pre-specified top-percentile single-drug criterion was met on the whole-transcriptome arm but not on the immune-restricted arm, where the class-level criterion was met instead — see Results.) For the KO arm, knockouts of known pro-inflammatory drivers (NFKB1, RELA, STAT3, IL1RAP, NFKBIZ, IL6, …) were the positive-control class.</w:t>
      </w:r>
    </w:p>
    <w:p>
      <w:pPr>
        <w:pStyle w:val="Heading2"/>
      </w:pPr>
      <w:r>
        <w:t>Genetic context and consistency check (Layer F)</w:t>
      </w:r>
    </w:p>
    <w:p>
      <w:r>
        <w:t>### Genetic context and consistency check (Layer F)</w:t>
      </w:r>
    </w:p>
    <w:p>
      <w:r>
        <w:t xml:space="preserve">The POD GWAS (12,353,257 variants; genomic-control λ = 1.0133) was scanned for the APOE ε4-defining alleles. The ε4 isoform is jointly defined by rs429358-C and rs7412-C; rs429358-C is a near-perfect tag for the ε4 haplotype in European-ancestry UKB data (ε4 requires rs429358-C with rs7412-C; rs7412 is not in the released top-loci and was not independently verified here) and was used here as the lead variant. Because the POD GWAS is monolithic on chromosome 19 (37 genome-wide-significant SNPs, all APOE block), </w:t>
      </w:r>
      <w:r>
        <w:rPr>
          <w:b/>
        </w:rPr>
        <w:t>no immune-trait→POD Mendelian randomization and no immune PRS are feasible</w:t>
      </w:r>
      <w:r>
        <w:t xml:space="preserve"> — POD instruments exist only at APOE, and no immune gene reaches genome-wide significance. This layer is therefore an association and gene-set analysis, not an MR, and provides no causal evidence for either axis; it is reported as a consistency check, not as confirmation. We then tested the immune-gene set with a stratified permutation (5,000 permutations, matched on SNP count per gene to control gene-length confounding); gene density (SNP/kb, a proxy for mappability and GC content) was not separately controlled, so immune genes in unusually dense or sparse regions may retain residual confounding. The permutation was computed both genome-wide and after excluding chromosome 19 (which carries APOE and its LD neighbours).</w:t>
      </w:r>
    </w:p>
    <w:p>
      <w:pPr>
        <w:pStyle w:val="Heading2"/>
      </w:pPr>
      <w:r>
        <w:t>Docking audit (Layer E)</w:t>
      </w:r>
    </w:p>
    <w:p>
      <w:r>
        <w:t>### Docking audit (Layer E)</w:t>
      </w:r>
    </w:p>
    <w:p>
      <w:r>
        <w:t>Each anchor protein was queried against the PDB for experimentally determined structures; genes without an experimental structure were flagged as requiring an AlphaFold model or exclusion from docking.</w:t>
      </w:r>
    </w:p>
    <w:p>
      <w:pPr>
        <w:pStyle w:val="Heading2"/>
      </w:pPr>
      <w:r>
        <w:t>A-priori specification and honesty posture</w:t>
      </w:r>
    </w:p>
    <w:p>
      <w:r>
        <w:t>### A-priori specification and honesty posture</w:t>
      </w:r>
    </w:p>
    <w:p>
      <w:r>
        <w:t>Primary hypotheses and the positive-control success criterion were fixed before unblinding results. The originally planned "hub-gene → POD Mendelian randomization" was specified a priori as expected-null given APOE-driven GWAS architecture and was not pursued as a positive claim. All null and negative results are reported.</w:t>
      </w:r>
    </w:p>
    <w:p>
      <w:pPr>
        <w:pStyle w:val="Heading2"/>
      </w:pPr>
      <w:r>
        <w:t>Reporting checklists</w:t>
      </w:r>
    </w:p>
    <w:p>
      <w:r>
        <w:t>### Reporting checklists</w:t>
      </w:r>
    </w:p>
    <w:p>
      <w:r>
        <w:t>ARRIVE (animal research) does not apply (no new animal experiments). STROBE and STROBE-MR do not apply (no new observational cohort or Mendelian randomization with individual-level data). This multi-omics integration of public data follows the principles of the Multi-Omics Reporting Guideline (MRE-MoSTre) where applicable, and the LINCS L1000 repositioning follows the Subramanian 2017 CMap reporting convention (overlap-enrichment of consensus signatures, with pre-specified positive controls and a size-matched empirical null). All quantitative claims are traceable to analysis artefacts under `pod-epigenetic-immune-repositioning/analysis/results/`.</w:t>
      </w:r>
    </w:p>
    <w:p>
      <w:r>
        <w:t>---</w:t>
      </w:r>
    </w:p>
    <w:p>
      <w:pPr>
        <w:pStyle w:val="Heading1"/>
      </w:pPr>
      <w:r>
        <w:t>Results</w:t>
      </w:r>
    </w:p>
    <w:p>
      <w:r>
        <w:t>## Results</w:t>
      </w:r>
    </w:p>
    <w:p>
      <w:pPr>
        <w:pStyle w:val="Heading2"/>
      </w:pPr>
      <w:r>
        <w:t>Immune gene expression is directionally elevated in POD blood (Layer B)</w:t>
      </w:r>
    </w:p>
    <w:p>
      <w:r>
        <w:t>### Immune gene expression is directionally elevated in POD blood (Layer B)</w:t>
      </w:r>
    </w:p>
    <w:p>
      <w:r>
        <w:t xml:space="preserve">Across 83 annotated immune genes on the GSE163943 array, moderated t-statistics were shifted toward upregulation relative to the 44,741 background genes (mean t = 0.253 versus −0.171; Mann–Whitney U p = </w:t>
      </w:r>
      <w:r>
        <w:rPr>
          <w:b/>
        </w:rPr>
        <w:t>0.0079</w:t>
      </w:r>
      <w:r>
        <w:t>), while an unweighted one-sample test for mean non-zero shift was non-significant (p = 0.18, a conservative lower bound on the directional signal given heterogeneous per-gene variances at n = 4 v 4), indicating a consistent *direction* rather than large per-gene effects. At nominal p &lt; 0.05, 737 transcripts were up- and 996 down-regulated (0 at FDR &lt; 0.05, as expected for n = 8). The 48 up- and 35 down-regulated immune genes defined the immune-restricted signature carried into LINCS.</w:t>
      </w:r>
    </w:p>
    <w:p>
      <w:pPr>
        <w:pStyle w:val="Heading2"/>
      </w:pPr>
      <w:r>
        <w:t>No cell-type proportion shift in PBMC, and methylation anchors are absent from blood (Layer C)</w:t>
      </w:r>
    </w:p>
    <w:p>
      <w:r>
        <w:t>### No cell-type proportion shift in PBMC, and methylation anchors are absent from blood (Layer C)</w:t>
      </w:r>
    </w:p>
    <w:p>
      <w:r>
        <w:t>Global clustering of 52,912 PBMC cells yielded 12 stable clusters. Cell-type proportions did not differ by POD status at the sample level (minimum p = 0.229; 4 POD vs 3 non-POD libraries from only 2 vs 2 patients; n = 2 vs 2 MWU is essentially powerless with minimum achievable p ≈ 0.23, so this proportion test is descriptive and the p-value is read as a floor, not biological evidence of no shift; e.g. monocyte 6.6% POD vs 18.2% control, NK 40.4% vs 23.0%). Within-subject pre/post variability (e.g. monocyte 25.0% → 8.1%) exceeded between-group differences, so Layer C is treated as descriptive localisation only.</w:t>
      </w:r>
    </w:p>
    <w:p>
      <w:r>
        <w:t xml:space="preserve">A finding with interpretive weight: the methylation anchors </w:t>
      </w:r>
      <w:r>
        <w:rPr>
          <w:b/>
        </w:rPr>
        <w:t>TMIGD3</w:t>
      </w:r>
      <w:r>
        <w:t xml:space="preserve"> (mean expression 0–0.0023) and </w:t>
      </w:r>
      <w:r>
        <w:rPr>
          <w:b/>
        </w:rPr>
        <w:t>ADORA3</w:t>
      </w:r>
      <w:r>
        <w:t xml:space="preserve"> (0.0002–0.0015) are essentially unexpressed in PBMC, whereas CD63 (0.46–0.71) and STAT3 (0.53–0.68) are robustly expressed. Peripheral blood is therefore not the tissue in which to validate these epigenetic loci—consistent with the two-axis view that the constitutive (methylation/APOE) axis is not simply read out in circulating immune cells. </w:t>
      </w:r>
      <w:r>
        <w:rPr>
          <w:b/>
        </w:rPr>
        <w:t>This null is not in conflict with the composition shift detected by deconvolution of the whole-blood methylome (below):</w:t>
      </w:r>
      <w:r>
        <w:t xml:space="preserve"> Layer C assays PBMC, in which granulocytes are depleted by preparation, so a granulocyte/neutrophil shift is largely invisible to it, and it comprises 2 POD vs 2 non-POD patients (4 vs 3 usable libraries) versus 65 in Layer A, giving it far less power to detect any shift.</w:t>
      </w:r>
    </w:p>
    <w:p>
      <w:pPr>
        <w:pStyle w:val="Heading2"/>
      </w:pPr>
      <w:r>
        <w:t>Epigenetic pre→post immune shift within POD (Layer A)</w:t>
      </w:r>
    </w:p>
    <w:p>
      <w:r>
        <w:t>### Epigenetic pre→post immune shift within POD (Layer A)</w:t>
      </w:r>
    </w:p>
    <w:p>
      <w:r>
        <w:t xml:space="preserve">Recomputed in-house (n = 312,514 autosomal gene-mapped EPIC v2 probes; 65 paired POD cases), the within-POD pre→post methylome shift is small: only 6 DMPs survived FDR &lt; 0.05 and |Δβ| &gt; 0.05 (0 at |Δβ| &gt; 0.10; |Δβ| range 0.05–0.065), and none mapped to a curated immune gene (0/49 overlap; Fisher p = 1). Thus individual immune loci are not genome-wide significant in this paired-within-POD design. However, at the probe-set level the immune axis *is* directionally present: immune-gene probes showed a significant pre→post shift relative to background (two-sided MWU on limma t-statistics, p = 0.041; mean t = +0.064 immune vs −0.035 background), a directional signal that is reported as hypothesis-generating and not yet composition-validated (see Limitations and §Composition-adjustment below); it is directionally consistent with Seki 2026's NF-κB/leukocyte pathway finding (Seki used a Time×Group model with non-delirium controls; our within-POD design has no controls and is therefore not a strict replication). The immune-methylation profile was individually stable across surgery (WMA cross-validated R² = 0.79, a within-subject retest descriptor of profile stability rather than evidence of axis stability); the small state-dependent shift is superimposed on a largely constitutive immune-methylation baseline. (Note: the immune-probe count n = 737 here is a coincidence with the Layer B n_up = 737 transcript count; the two numbers refer to unrelated objects—methylation probes versus transcriptome probes.) At the regional level, </w:t>
      </w:r>
      <w:r>
        <w:rPr>
          <w:b/>
        </w:rPr>
        <w:t>bumphunter</w:t>
      </w:r>
      <w:r>
        <w:t xml:space="preserve"> (run with B = 0, no permutation; descriptive counts without empirical FDR, see Methods) called </w:t>
      </w:r>
      <w:r>
        <w:rPr>
          <w:b/>
        </w:rPr>
        <w:t>13,357 DMRs</w:t>
      </w:r>
      <w:r>
        <w:t xml:space="preserve"> (|ΔM| ≥ 0.05 on the M-value scale and length ≥ 3 probes) across the 65 paired POD cases; the broader 73,825 candidate regions were near-balanced (37,339 hyper- vs 36,486 hypo-methylated), whereas the stricter 13,357 DMRs were hypo-methylation dominated (4,994 vs 8,363), again arguing against a uniform global hyper-methylation sweep. Mapping these strict DMR intervals to gene bodies showed </w:t>
      </w:r>
      <w:r>
        <w:rPr>
          <w:b/>
        </w:rPr>
        <w:t>79 DMRs (0.59%) overlapping at least one of the 83 curated immune genes, hitting 48/83 immune genes (4 of the 83 immune-set members had no mapped probes, so the effective denominator is 79)</w:t>
      </w:r>
      <w:r>
        <w:t xml:space="preserve">; the most frequently hit were IL6R (4 DMRs), TNF (4), CX3CR1 (3), IRF8 (3), S100A8 (3) and TNFAIP3 (3) - again the TNF / NF-kappaB / IL-1 axis. (On the broader candidate-region set *before* the length filter, 305/73,825 regions (0.41%) and 75/83 genes overlapped, with TNFAIP3 the most hit at 12; we report the length-filtered set here because that is the DMR definition used throughout.) We then re-ran bumphunter with the estimated per-subject change in cell fractions entered as covariates (Methods (iv)). Entering the estimated neutrophil change alone cut the DMR burden from 13,357 to 5,153 (-61%) and the immune-overlapping DMRs from 79 to 24 (-70%), leaving 21/83 immune genes hit and only 14 of the original 48 genes still represented; additionally adjusting for eosinophil and basophil changes gave an intermediate result (7,263 DMRs; 36 immune-overlapping). The *proportion* of immune-overlapping DMRs did not rise after adjustment (0.47-0.50% versus 0.59% unadjusted). The regional immune signal is therefore largely - though not entirely - attributable to the post-operative leucocyte composition shift. (Because bumphunter ran without permutation, these DMR counts are descriptive, not FDR-controlled.) It is important to state what this analysis does *not* show. It does not show that Layer A is uninformative: the composition shift itself (neutrophils +3.4 pp, p = 7.6 × 10⁻⁴, consistent across five references) is a positive, reproducible finding, and the methylation change that accompanies it is real (13,357 DMRs; directional immune shift p = 0.041). What it shows is that these two are largely the same phenomenon rather than two independent ones. Read this way, the methylation layer is still consistent with the two-axis model, but with a material qualification: what surgery triggers here is largely a </w:t>
      </w:r>
      <w:r>
        <w:rPr>
          <w:b/>
        </w:rPr>
        <w:t>leucocyte-composition shift together with its accompanying methylation change</w:t>
      </w:r>
      <w:r>
        <w:t>, over and above which lies only a modest residual component that composition adjustment does not remove. Neither component is constitutive, and both remain dissociable from the APOE ε4 susceptibility axis; we therefore do not claim that Layer A demonstrates cell-intrinsic innate-immune epigenetic reprogramming.</w:t>
      </w:r>
    </w:p>
    <w:p>
      <w:r>
        <w:rPr>
          <w:b/>
        </w:rPr>
        <w:t>Figure 1. Within-POD pre→post blood methylome shift (GSE330869, Layer A).</w:t>
      </w:r>
      <w:r>
        <w:t xml:space="preserve"> </w:t>
      </w:r>
      <w:r>
        <w:rPr>
          <w:b/>
        </w:rPr>
        <w:t>(A)</w:t>
      </w:r>
      <w:r>
        <w:t xml:space="preserve"> Volcano plot of limma t-statistics (Post − Pre) versus −log10 P for 312,514 autosomal gene-mapped EPIC v2 probes; immune-gene probes (n = 737, red) are highlighted and the 6 DMPs (FDR &lt; 0.05, |Δβ| &gt; 0.05) are labelled. Dashed lines: |t| = 2 and nominal P = 0.05. </w:t>
      </w:r>
      <w:r>
        <w:rPr>
          <w:b/>
        </w:rPr>
        <w:t>(B)</w:t>
      </w:r>
      <w:r>
        <w:t xml:space="preserve"> Distribution of t-statistics for immune-gene probes versus all background probes; the immune set is shifted toward positive t (two-sided MWU p = 0.041), while the immune-methylation profile is individually stable across surgery (WMA cross-validated R² = 0.79, a within-subject retest descriptor). *Figure file supplied separately as layerA_figure.png (600 dpi) and layerA_figure.pdf (vector); colour encoding is colorblind-safe.*</w:t>
      </w:r>
    </w:p>
    <w:p>
      <w:r>
        <w:rPr>
          <w:b/>
        </w:rPr>
        <w:t>Figure 2. Post-operative leucocyte shift and its impact on Layer A immune methylation (GSE330869).</w:t>
      </w:r>
      <w:r>
        <w:t xml:space="preserve"> </w:t>
      </w:r>
      <w:r>
        <w:rPr>
          <w:b/>
        </w:rPr>
        <w:t>(A)</w:t>
      </w:r>
      <w:r>
        <w:t xml:space="preserve"> Paired pre→post estimated lineage fractions in the 65 POD cases (reference centCAB100i, 641 informative probes, NNLS; lines connect medians). Neutrophils rise by a median +3.38 pp (primary estimate from CP_nnls_norm, Wilcoxon p = 7.6 × 10⁻⁴; the composition-adjustment pipeline uses CP_penalty_K1000 and gives +3.39 pp, p = 8.3 × 10⁻⁴, differing by &lt;0.01 pp), total lymphoid falls by −1.67 pp (p = 0.003) and monocytes by −1.11 pp (p = 1.2 × 10⁻⁴) — the canonical surgical stress leucocyte shift. </w:t>
      </w:r>
      <w:r>
        <w:rPr>
          <w:b/>
        </w:rPr>
        <w:t>(B)</w:t>
      </w:r>
      <w:r>
        <w:t xml:space="preserve"> The shift is directionally consistent across five independent references built on partly disjoint probe sets (points: mean over four solvers of the median paired delta; bars: solver range). </w:t>
      </w:r>
      <w:r>
        <w:rPr>
          <w:b/>
        </w:rPr>
        <w:t>(C)</w:t>
      </w:r>
      <w:r>
        <w:t xml:space="preserve"> Probe level: the immune-versus-background |t| enrichment observed unadjusted (median 0.968 vs 0.903; two-sided MWU p = 2.5 × 10⁻⁴) is abolished after regressing each probe's paired ΔM on the estimated neutrophil change (0.650 vs 0.656; p = 0.72) or on the three lineage changes (0.677 vs 0.657; p = 0.55). This |t|-based enrichment test is distinct from the signed-t directional test reported in the Results text (Set 1, p = 0.041). </w:t>
      </w:r>
      <w:r>
        <w:rPr>
          <w:b/>
        </w:rPr>
        <w:t>(D)</w:t>
      </w:r>
      <w:r>
        <w:t xml:space="preserve"> DMR level: entering the DMR-level covariate set (neutrophils + eosinophils + basophils, granulocyte-subtype covariates; </w:t>
      </w:r>
      <w:r>
        <w:rPr>
          <w:b/>
        </w:rPr>
        <w:t>not</w:t>
      </w:r>
      <w:r>
        <w:t xml:space="preserve"> the three-lineage Neu+Lymph+Mono covariate used at the probe level in panel C) into the bumphunter design reduces the DMR burden from 13,357 to 5,153 / 7,263 and immune-overlapping DMRs from 79 to 24 / 36, with the immune proportion falling from 0.59% to 0.47–0.50% (labels above the immune bars). bumphunter was run with B = 0, so DMR counts are descriptive. Both covariate sets (three-lineage Neu+Lymph+Mono and granulocyte-subtype Neu+Eos+Baso) were evaluated at both the probe and DMR levels; the directional conclusion (46–61% of DMRs composition-attributable, immune proportion unchanged) is unchanged across all four crossings. *Figure file supplied separately as layerA_figure2.png (600 dpi) and layerA_figure2.pdf (vector); colour encoding is colorblind-safe.*</w:t>
      </w:r>
    </w:p>
    <w:p>
      <w:pPr>
        <w:pStyle w:val="Heading2"/>
      </w:pPr>
      <w:r>
        <w:t>LINCS repositioning: chemical arm valid, virtual-knockout arm hypothesis-generating (Layer D)</w:t>
      </w:r>
    </w:p>
    <w:p>
      <w:r>
        <w:t>### LINCS repositioning: chemical arm valid, virtual-knockout arm hypothesis-generating (Layer D)</w:t>
      </w:r>
    </w:p>
    <w:p>
      <w:r>
        <w:rPr>
          <w:b/>
        </w:rPr>
        <w:t>Chemical arm.</w:t>
      </w:r>
      <w:r>
        <w:t xml:space="preserve"> Across 1,069 perturbagens, the pre-specified positive-control class test passed on the immune-restricted signature at the </w:t>
      </w:r>
      <w:r>
        <w:rPr>
          <w:b/>
        </w:rPr>
        <w:t>class level</w:t>
      </w:r>
      <w:r>
        <w:t xml:space="preserve">: the glucocorticoid class ranked above the size-matched null (class mean 58.46% vs null 49.92 ± 4.87%, z = 1.75, class permutation p = 0.041). The whole-transcriptome arm was only marginal (class p = 0.056, not significant), so the positive-control pass is specific to the immune-restricted arm at the class level. The high per-drug percentiles (dexamethasone 95.1%, hydrocortisone valerate 92.0%, betamethasone acetate 90.9%, prednisolone hemisuccinate 87.2%) belong to the </w:t>
      </w:r>
      <w:r>
        <w:rPr>
          <w:b/>
        </w:rPr>
        <w:t>whole-transcriptome arm</w:t>
      </w:r>
      <w:r>
        <w:t xml:space="preserve">, not the immune-restricted arm; on the immune-restricted arm the same drugs' percentiles were dexamethasone acetate 76.6%, hydrocortisone 79.4%, betamethasone 27.4%, prednisolone 76.3%—so the class-level pass is not driven by top-percentile single-drug ranking but by the class as a whole. Two pre-specified positive-control classes—statins (immune-restricted perm p = 0.85; whole-transcriptome p = 0.80) and NSAIDs (p = 0.78; 0.93)—did </w:t>
      </w:r>
      <w:r>
        <w:rPr>
          <w:b/>
        </w:rPr>
        <w:t>not</w:t>
      </w:r>
      <w:r>
        <w:t xml:space="preserve"> reverse the signature; per our a priori rule these are *failed* positive controls and temper confidence in the screen's sensitivity, and we report the screen as hypothesis-generating, not as having fully passed its positive-control battery. On the immune-restricted signature, </w:t>
      </w:r>
      <w:r>
        <w:rPr>
          <w:b/>
        </w:rPr>
        <w:t>six IFNγ perturbations (across MCF7, MCF10A, HS578T, MDAMB231, BT20, SKBR3) all reversed the disease signature at FDR &lt; 0.05</w:t>
      </w:r>
      <w:r>
        <w:t xml:space="preserve">; the cited value FDR = 3.4 × 10⁻⁴ corresponds to ifng-mdamb231, which is the </w:t>
      </w:r>
      <w:r>
        <w:rPr>
          <w:b/>
        </w:rPr>
        <w:t>second-strongest</w:t>
      </w:r>
      <w:r>
        <w:t xml:space="preserve"> of the six (strongest: ifng-mcf7 FDR = 1.9 × 10⁻⁴; weakest: ifng-hs578t FDR = 2.5 × 10⁻²). Because the disease signature is interferon-stimulated-gene dominated (IFNG, CXCL10, IRF7, IRF1, STAT1 among the 48 input up-genes), this reversal is partly tautological across all six entries and is reported as hypothesis-generating rather than a directional mechanistic lead. </w:t>
      </w:r>
      <w:r>
        <w:rPr>
          <w:b/>
        </w:rPr>
        <w:t>At the drug level, 24 of 96 LINCS *ligand* (cytokine) perturbations survived BH-FDR &lt; 0.05 in the immune-restricted arm, whereas 0 of 1,069 small-molecule *chemical* perturbagens did so in either arm and 0 ligand perturbations did so in the whole-transcriptome arm</w:t>
      </w:r>
      <w:r>
        <w:t>; overlap sizes are small, so the screen is framed as hypothesis-generating, not confirmatory. The chemical (small-molecule) arm therefore showed no drug-level FDR hits; its only positive signal was the glucocorticoid *class* test above. The 24 ligand hits are dominated by interferon/cytokine perturbations and are reported as hypothesis-generating given the ISG composition of the disease signature.</w:t>
      </w:r>
    </w:p>
    <w:p>
      <w:r>
        <w:rPr>
          <w:b/>
        </w:rPr>
        <w:t>Virtual-knockout arm.</w:t>
      </w:r>
      <w:r>
        <w:t xml:space="preserve"> On the immune-restricted signature, the top genes by nominal FDR were nupl2 (FDR = 5.8 × 10⁻⁸), hla-dpa1 (2.2 × 10⁻⁷), itgb4 (4.2 × 10⁻⁷), pde4a (4.2 × 10⁻⁶), emb (4.2 × 10⁻⁶), plk5 (4.2 × 10⁻⁶), and il4r (4.2 × 10⁻⁶); of these, hla-dpa1/pde4a/il4r are immune-plausible, while nupl2/itgb4/emb/plk5 are non-immune and may reflect LINCS cell-line transcriptional responses rather than immune biology. </w:t>
      </w:r>
      <w:r>
        <w:rPr>
          <w:b/>
        </w:rPr>
        <w:t>These hits derive from the Enrichr consensus CRISPR-KO library, in which each gene is represented by a single cell-line-aggregated consensus signature (the cell_line field is empty for 5208/5210 genes, so n_cell_lines is structurally 1, not a measured replication)</w:t>
      </w:r>
      <w:r>
        <w:t xml:space="preserve">; there is no within-cell-line replication structure to filter on, so all KO hits are hypothesis-generating only. </w:t>
      </w:r>
      <w:r>
        <w:rPr>
          <w:b/>
        </w:rPr>
        <w:t>At the gene level, 1,109 KO terms survived BH-FDR &lt; 0.05 in the immune-restricted arm (vs 0 in the whole-transcriptome arm)</w:t>
      </w:r>
      <w:r>
        <w:t xml:space="preserve">; given that the disease signature is only ~40 up- and ~33 down-genes, this 1,109-vs-0 asymmetry suggests BH-FDR is over-liberal on tiny-overlap Fisher tests for the KO arm, and all KO hits should be read as hypothesis-generating pending orthogonal validation. The KO positive-control class test on the immune-restricted signature was directionally correct but not significant (z = +0.43, p = 0.34). </w:t>
      </w:r>
      <w:r>
        <w:rPr>
          <w:b/>
        </w:rPr>
        <w:t>On the whole-transcriptome signature the KO positive-control class test ranked at the bottom (z = −2.47)</w:t>
      </w:r>
      <w:r>
        <w:t xml:space="preserve">: the permutation null was computed one-tailed (upper tail only) as pre-specified, giving p = 0.9934 (non-significant for the pre-specified upper-tail hypothesis that KO controls rank at the top); the post-hoc lower-tail P(null ≤ obs) ≈ 0.0066 (two-sided ≈ 0.013) was computed by hand from the permutation distribution, not by the script. The significant two-sided p ≈ 0.013 is in the *wrong* direction (mimicry), i.e. a failed positive control, not a positive result. This means the KO signature of known pro-inflammatory drivers </w:t>
      </w:r>
      <w:r>
        <w:rPr>
          <w:b/>
        </w:rPr>
        <w:t>mimics</w:t>
      </w:r>
      <w:r>
        <w:t xml:space="preserve"> the whole-transcriptome disease signature (same direction), i.e. the pre-specified positive-control direction (reversal) </w:t>
      </w:r>
      <w:r>
        <w:rPr>
          <w:b/>
        </w:rPr>
        <w:t>failed</w:t>
      </w:r>
      <w:r>
        <w:t xml:space="preserve"> on the whole-transcriptome arm. We report this as a failed positive control, not as evidence supporting the two-axis model; the post-hoc reading that the whole-transcriptome signature is not reconstructable by pure immune-TF knockouts is consistent with the two-axis architecture but is an exploratory re-framing of a null, not a confirmatory result. We report the virtual-knockout arm as exploratory and do not claim validation from it.</w:t>
      </w:r>
    </w:p>
    <w:p>
      <w:pPr>
        <w:pStyle w:val="Heading2"/>
      </w:pPr>
      <w:r>
        <w:t>POD GWAS is an APOE ε4 story; the immune gene set is null off chromosome 19 (Layer F)</w:t>
      </w:r>
    </w:p>
    <w:p>
      <w:r>
        <w:t>### POD GWAS is an APOE ε4 story; the immune gene set is null off chromosome 19 (Layer F)</w:t>
      </w:r>
    </w:p>
    <w:p>
      <w:r>
        <w:t xml:space="preserve">The released Armstrong summary contained </w:t>
      </w:r>
      <w:r>
        <w:rPr>
          <w:b/>
        </w:rPr>
        <w:t>37 SNPs at P &lt; 5×10⁻⁸, all on chromosome 19 within the APOE/TOMM40/APOC1/PVRL2 block</w:t>
      </w:r>
      <w:r>
        <w:t xml:space="preserve"> (this file, `layerF_gwas_top_loci.csv`); Armstrong reported </w:t>
      </w:r>
      <w:r>
        <w:rPr>
          <w:b/>
        </w:rPr>
        <w:t>7 conditionally-independent lead SNPs</w:t>
      </w:r>
      <w:r>
        <w:t xml:space="preserve"> within this block. We did not re-derive conditional independence and treat all 37 as a single APOE-region signal. The lead variant rs429358 (allele0 = C, the APOE ε4-defining allele; allele1 = T, ε3; ε4 frequency = 1 − 0.846 = 0.154) carried </w:t>
      </w:r>
      <w:r>
        <w:rPr>
          <w:b/>
        </w:rPr>
        <w:t>BETA = −0.621 (SE 0.051, P = 1.4 × 10⁻²⁹) in the released file, where BETA is the effect of the T (ε3) allele</w:t>
      </w:r>
      <w:r>
        <w:t xml:space="preserve">; the C (ε4) allele therefore has log-OR = +0.621, </w:t>
      </w:r>
      <w:r>
        <w:rPr>
          <w:b/>
        </w:rPr>
        <w:t>OR = exp(0.621) = 1.86 per ε4 allele</w:t>
      </w:r>
      <w:r>
        <w:t xml:space="preserve"> (additive; 1,016 cases / 139,148 nominal controls; effective genotype-QC'd N = 134,310 per SNP). Armstrong et al. report isoform-level ORs of </w:t>
      </w:r>
      <w:r>
        <w:rPr>
          <w:b/>
        </w:rPr>
        <w:t>1.75 per ε4 copy and 4.19 for two copies</w:t>
      </w:r>
      <w:r>
        <w:t xml:space="preserve"> (Armstrong et al., *PLOS Medicine* 2026); the per-allele OR from the summary BETA (1.86) and Armstrong's heterozygote (one-ε4-copy) isoform OR (1.75) differ slightly because the latter is a genotype-specific estimate, not the additive per-allele scale—both indicate a strong, consistent ε4 effect. Across all autosomes, the immune-gene set was borderline enriched (stratified permutation p = 0.081, z = 1.26, mean 2.118 vs background 2.066), driven entirely by chr19-adjacent immune genes (RELB ~0.37 Mb from APOE, IRF3 ~4.2 Mb from APOE). After excluding chromosome 19, the immune-gene set showed no enrichment (stratified permutation p = 0.277; 0 immune genes reached genome-wide significance). Beyond APOE, the released file shows 29 suggestive (p &lt; 1×10⁻⁵) non-chr19 loci (e.g., NEGR1, ZBTB40), none in the immune set and none replicated; given λ ≈ 1.01 these are consistent with chance tail noise and are not interpreted as a second axis. The off-chr19 null is </w:t>
      </w:r>
      <w:r>
        <w:rPr>
          <w:b/>
        </w:rPr>
        <w:t>expected rather than informative</w:t>
      </w:r>
      <w:r>
        <w:t>: a GWAS captures germline variant–disease association, not downstream transcriptional mediation, so off-chr19 null cannot discriminate "immune downstream of APOE ε4" from "immune independent axis". The per-gene ranked table is not reported because the stratified permutation yields only set-level statistics; RELB and IRF3 are chr19-adjacent to APOE and their signal reflects LD proximity, not independent immune signal.</w:t>
      </w:r>
    </w:p>
    <w:p>
      <w:r>
        <w:t>This is the genetic cornerstone of the two-axis model: the *constitutive* susceptibility axis is APOE ε4, and the *state-dependent* peripheral immune axis is genetically consistent with, but not established by, the GWAS—the genetic data are agnostic on whether it is independent of APOE ε4.</w:t>
      </w:r>
    </w:p>
    <w:p>
      <w:pPr>
        <w:pStyle w:val="Heading2"/>
      </w:pPr>
      <w:r>
        <w:t>Docking feasibility of anchor proteins (Layer E)</w:t>
      </w:r>
    </w:p>
    <w:p>
      <w:r>
        <w:t>### Docking feasibility of anchor proteins (Layer E)</w:t>
      </w:r>
    </w:p>
    <w:p>
      <w:r>
        <w:t xml:space="preserve">Of the seven proteins taken forward for docking, four are published POD methylation anchors from Seki 2026: TMIGD3 and ADORA3 (shared cg01534316 locus) and SPATA13 and COL13A1 (both suggestive FDR ≈ 0.075). Of these, </w:t>
      </w:r>
      <w:r>
        <w:rPr>
          <w:b/>
        </w:rPr>
        <w:t>ADORA3</w:t>
      </w:r>
      <w:r>
        <w:t xml:space="preserve"> (5 PDB entries: 8X16, 8X17, 9EBH, 9EBI, 9EHS) has an experimentally determined structure and is dockable. </w:t>
      </w:r>
      <w:r>
        <w:rPr>
          <w:b/>
        </w:rPr>
        <w:t>COL18A1</w:t>
      </w:r>
      <w:r>
        <w:t xml:space="preserve"> (9: 1BNL, 3HON, 3HSH, 9BNB, 9BNC, 9BND, 9BNE, 9BNF, 9BNG), </w:t>
      </w:r>
      <w:r>
        <w:rPr>
          <w:b/>
        </w:rPr>
        <w:t>CD63</w:t>
      </w:r>
      <w:r>
        <w:t xml:space="preserve"> (2: 9HQ5, 9HUR) and </w:t>
      </w:r>
      <w:r>
        <w:rPr>
          <w:b/>
        </w:rPr>
        <w:t>LTF</w:t>
      </w:r>
      <w:r>
        <w:t xml:space="preserve"> (10: 1B0L, 1BKA, 1CB6, 1DSN, 1EH3, 1FCK, 1H43, 1H44, 1H45, 1HSE) also have experimentally determined structures and are dockable, but these three are *candidate* targets drawn from the LINCS CRISPR-KO positive-control set and are </w:t>
      </w:r>
      <w:r>
        <w:rPr>
          <w:b/>
        </w:rPr>
        <w:t>not</w:t>
      </w:r>
      <w:r>
        <w:t xml:space="preserve"> independent published POD methylation loci; they are carried forward only for structural-feasibility auditing and are flagged for circularity in the Discussion. TMIGD3, COL13A1 and SPATA13 have no experimental structure and would require AlphaFold models [14]; we report this as a limitation rather than attempting unreliable docking.</w:t>
      </w:r>
    </w:p>
    <w:p>
      <w:r>
        <w:t>---</w:t>
      </w:r>
    </w:p>
    <w:p>
      <w:pPr>
        <w:pStyle w:val="Heading1"/>
      </w:pPr>
      <w:r>
        <w:t>Discussion</w:t>
      </w:r>
    </w:p>
    <w:p>
      <w:r>
        <w:t>## Discussion</w:t>
      </w:r>
    </w:p>
    <w:p>
      <w:r>
        <w:t xml:space="preserve">Our integration supports a </w:t>
      </w:r>
      <w:r>
        <w:rPr>
          <w:b/>
        </w:rPr>
        <w:t>two-axis model of POD</w:t>
      </w:r>
      <w:r>
        <w:t>:</w:t>
      </w:r>
    </w:p>
    <w:p>
      <w:r>
        <w:t xml:space="preserve">1. </w:t>
      </w:r>
      <w:r>
        <w:rPr>
          <w:b/>
        </w:rPr>
        <w:t>Constitutive axis — APOE ε4.</w:t>
      </w:r>
      <w:r>
        <w:t xml:space="preserve"> The GWAS is monolithic on chromosome 19 (37 genome-wide-significant SNPs, all in the APOE/TOMM40/APOC1/PVRL2 LD block; Armstrong reported 7 conditionally-independent lead SNPs); ε4 confers OR ≈ 1.86 per allele additively (isoform ORs 1.75 per ε4 copy and 4.19 for two copies, per Armstrong et al., *PLOS Medicine* 2026). This is a fixed, non-modifiable susceptibility. Importantly, the POD–AD genetic correlation ρ = 0.68 (via APOE) means the constitutive axis is entangled with broader Alzheimer's-disease liability—a qualification, not a refutation of the two-axis framing.</w:t>
      </w:r>
    </w:p>
    <w:p>
      <w:r>
        <w:t xml:space="preserve">2. </w:t>
      </w:r>
      <w:r>
        <w:rPr>
          <w:b/>
        </w:rPr>
        <w:t>State axis — peripheral immune activation.</w:t>
      </w:r>
      <w:r>
        <w:t xml:space="preserve"> Independent of APOE, immune genes are directionally upregulated in POD blood (p = 0.0079); six IFNγ perturbations in LINCS all reversed the immune-restricted disease signature at FDR &lt; 0.05 (cited ifng-mdamb231 FDR = 3.4 × 10⁻⁴, the second-strongest of six; this is partly tautological given the signature's interferon-stimulated-gene content and is hypothesis-generating only); and glucocorticoids pass the repositioning positive-control test at the class level on the immune-restricted arm (whole-transcriptome arm marginal, p = 0.056)—a result that sits against mixed clinical evidence (a dexamethasone meta-analysis reporting null [15] versus a single-centre RCT, n = 93, non-CAM diagnosis, reporting positive [22] effects on POD, and statin trials reporting protective [16] or null [26] outcomes—although [26] MoDUS is an ICU medical-ventilation delirium-duration trial, not a surgical-POD prevention trial, so its null is not directly extrapolable to elective surgical POD), so specificity rather than a blanket anti-inflammatory effect is what the screen demands. This axis is, in principle, pharmacologically mutable. Its methylation correlate, however, is only partly cell-intrinsic: in whole blood it is substantially associated with—though not wholly explained by—the post-operative leucocyte composition shift, so the epigenomic evidence for the state axis is weaker than the transcriptomic and pharmacologic evidence.</w:t>
      </w:r>
    </w:p>
    <w:p>
      <w:r>
        <w:t xml:space="preserve">The two axes are *not* a priori the same process, but the genetic data are </w:t>
      </w:r>
      <w:r>
        <w:rPr>
          <w:b/>
        </w:rPr>
        <w:t>agnostic on dissociation</w:t>
      </w:r>
      <w:r>
        <w:t>: a GWAS captures germline variant–disease association, not downstream transcriptional mediation, so removing chromosome 19 and observing an immune-set null (p = 0.277) cannot discriminate "immune downstream of APOE ε4" from "immune independent axis". The case for dissociation therefore rests on the transcriptomic (Layer B) and pharmacologic (Layer D) layers, not on the GWAS, and is further qualified by the POD–AD genetic correlation ρ = 0.68 (via APOE), which means the constitutive axis is entangled with broader AD liability rather than cleanly APOE-only. The dissociation is echoed at the tissue level (methylation anchors TMIGD3/ADORA3 absent from PBMC) and at the perturbation level (the whole-transcriptome KO positive-control class failed its pre-specified direction, while the immune-restricted arm was plausible—but the KO failure is reported as a failed positive control, not as confirmatory support for two axes). APOE genotype itself modulates innate-immune tone (Refs [25,28]); the two axes are thus biologically overlapping as well as genetically non-separable, so immune modulation should be viewed as a target that may interact with APOE status rather than as fully independent of it. The KO class statistics reported above (immune-restricted z = +0.43, p = 0.34; whole-transcriptome z = −2.47, p = 0.9934) include the four anchor genes in the control list; a re-run excluding them is required for a fully non-circular estimate.</w:t>
      </w:r>
    </w:p>
    <w:p>
      <w:r>
        <w:rPr>
          <w:b/>
        </w:rPr>
        <w:t>Implications for repositioning.</w:t>
      </w:r>
      <w:r>
        <w:t xml:space="preserve"> The honest reading is that immune-modulating agents—particularly interferon-pathway and glucocorticoid-class drugs—are plausible *state-axis* modifiers worthy of prospective testing, but the current screen is hypothesis-generating: no compound cleared FDR at the drug level, and the virtual-knockout arm is exploratory. We deliberately did not overstate these findings. Because the immune-restricted disease signature is interferon-stimulated-gene dominated, the six IFNγ perturbations that "reverse" it indicate that POD blood carries an active IFNγ/type-I-IFN programme; the actionable, hypothesis-generating direction is therefore *inhibition* of IFNγ / type-I-IFN signalling (e.g. JAK–STAT blockade or IFNAR antagonism), and IFNγ administration would be predicted to exacerbate rather than prevent POD. This inference is limited by the tautology between the ISG-rich signature and the IFNγ perturbations.</w:t>
      </w:r>
    </w:p>
    <w:p>
      <w:r>
        <w:rPr>
          <w:b/>
        </w:rPr>
        <w:t>Limitations, stated without rescue.</w:t>
      </w:r>
    </w:p>
    <w:p>
      <w:pPr>
        <w:pStyle w:val="ListBullet"/>
      </w:pPr>
      <w:r>
        <w:t>GSE163943 has only 8 samples; 0 genes survive FDR, so transcriptomic claims are directional only.</w:t>
      </w:r>
    </w:p>
    <w:p>
      <w:pPr>
        <w:pStyle w:val="ListBullet"/>
      </w:pPr>
      <w:r>
        <w:rPr>
          <w:b/>
        </w:rPr>
        <w:t>Methylation layer design.</w:t>
      </w:r>
      <w:r>
        <w:t xml:space="preserve"> GEO deposition contains POD cases only, so the design is paired-within-POD without non-delirium controls and the immune signal is necessarily more modest than Seki 2026's Time×Group model; the directional p = 0.041 is hypothesis-generating, not a genome-wide claim. Day0/Day3 is not encoded in the GEO header, so the WMA uses all post-operative profiles rather than a Day0-only baseline subgroup. DMRs were called with B = 0 (no permutation) and are therefore descriptive, without empirical FDR control. Probe-level paired testing with n = 65 is underpowered (11 probes reach FDR &lt; 0.05 array-wide, none of them immune).</w:t>
      </w:r>
    </w:p>
    <w:p>
      <w:pPr>
        <w:pStyle w:val="ListBullet"/>
      </w:pPr>
      <w:r>
        <w:rPr>
          <w:b/>
        </w:rPr>
        <w:t>Interpretation of the composition adjustment.</w:t>
      </w:r>
      <w:r>
        <w:t xml:space="preserve"> Composition estimates carry measurement error, so adjusting for them also removes some genuine within-cell signal (regression dilution); the residual that survives adjustment cannot be cleanly separated from that artefact. The magnitude of the "composition-attributable" share is sensitivity-dependent: regressing on the estimated neutrophil change removed 61% of DMRs, whereas the DMR-level granulocyte-subtype covariate (neutrophils + eosinophils + basophils, </w:t>
      </w:r>
      <w:r>
        <w:rPr>
          <w:b/>
        </w:rPr>
        <w:t>not</w:t>
      </w:r>
      <w:r>
        <w:t xml:space="preserve"> the three-lineage Neu+Lymph+Mono covariate used at the probe level) removed 46%, and the probe-level |t| enrichment fell from p = 2.5 × 10⁻⁴ to p = 0.72 (neutrophil) / 0.55 (Neu+Lymph+Mono at the probe level). We therefore describe the methylation immune signal as *substantially composition-associated* rather than wholly composition-driven. The directional Set-1 signed-t test (unadjusted MWU p = 0.041 on limma moderated t) was not re-computed after composition adjustment using the same limma moderated-t definition; a sensitivity re-analysis using OLS-on-delta t (the same t used for the |t| enrichment test above) on the 83-gene Set-2 immune probe set gave unadjusted MWU p = 0.296, dNeu-adjusted p = 0.098, and three-lineage-adjusted p = 0.141 (see `analysis/adjust/set1_signed_t_adjusted.csv`). Because this OLS-on-delta t differs in both gene set (Set-2, 83 genes) and t definition (OLS intercept t, not limma moderated t) from the headline Set-1 signed-t test, it cannot directly answer whether the directional limma-t signal survives composition adjustment; we therefore report the directional signal as not-yet-composition-validated and hypothesis-generating. This does not make Layer A uninformative—the leucocyte shift is itself a positive, reproducible result—but it does mean the methylation layer cannot be read as evidence of cell-intrinsic innate-immune reprogramming. This composition association is our own Layer A finding and is not directly tested in Nishizawa et al. [17], which replicated case–control CpG-level differences across four cohorts without composition adjustment; we cite [17] only as evidence that delirium blood-methylation signals replicate, not as support for the composition-driven attenuation we observe. Multi-tissue delirium methylome studies report analogous compositional sensitivity [38].</w:t>
      </w:r>
    </w:p>
    <w:p>
      <w:pPr>
        <w:pStyle w:val="ListBullet"/>
      </w:pPr>
      <w:r>
        <w:rPr>
          <w:b/>
        </w:rPr>
        <w:t>Deconvolution scope.</w:t>
      </w:r>
      <w:r>
        <w:t xml:space="preserve"> Owing to the reduced row coverage of the deposited beta matrix (312,514 of ~935,000 EPIC v2 probes), each reference contributed only 66–641 informative probes, and subtype-level fractions (CD4T naive versus memory, Treg, B subsets) are not identifiable because of collinearity among lymphoid centroids; only lineage-level estimates are interpreted. Absolute granulocyte fractions are higher than expected for healthy adults, indicating a systematic offset, though the paired within-subject change is robust.</w:t>
      </w:r>
    </w:p>
    <w:p>
      <w:pPr>
        <w:pStyle w:val="ListBullet"/>
      </w:pPr>
      <w:r>
        <w:t>scRNA PBMC (2 POD vs 2 non-POD patients, 4 vs 3 usable libraries) is underpowered for proportion tests (n = 2 vs 2 MWU minimum achievable p ≈ 0.23); it is descriptive.</w:t>
      </w:r>
    </w:p>
    <w:p>
      <w:pPr>
        <w:pStyle w:val="ListBullet"/>
      </w:pPr>
      <w:r>
        <w:t>The virtual-knockout arm failed its whole-transcriptome class test; we report it as a caveat, not evidence.</w:t>
      </w:r>
    </w:p>
    <w:p>
      <w:pPr>
        <w:pStyle w:val="ListBullet"/>
      </w:pPr>
      <w:r>
        <w:t xml:space="preserve">Docking is an audit only (no poses computed); three anchors (TMIGD3, COL13A1, SPATA13) lack experimental structures and would require AlphaFold models [14]. ADORA3, by contrast, has experimental structures (8X16, 8X17, 9EBH, 9EBI, 9EHS) and is a ligand-characterised adenosine A3 receptor and a plausible *brain/endothelial* docking target, with the therapeutic direction being A3 </w:t>
      </w:r>
      <w:r>
        <w:rPr>
          <w:b/>
        </w:rPr>
        <w:t>antagonism</w:t>
      </w:r>
      <w:r>
        <w:t xml:space="preserve"> (counterintuitive, because A3 signalling counteracts the A2A-mediated inhibition of TLR responses in microglia [20]); the cited adenosine-receptor neuroinflammation literature is receptor-subtype-heterogeneous—[20] supports A3, [23] supports A2A, and [24] supports A1/A2A—so the three references should not be read as a uniform endorsement of ADORA3. Its low expression in PBMC (noted in Layer C) does not preclude it as a target, because PBMC are not the relevant tissue for an adenosine-receptor immunomodulator, whereas TMIGD3 is a transmembrane protein with no characterised ligand-binding pocket and remains a low-priority docking candidate.</w:t>
      </w:r>
    </w:p>
    <w:p>
      <w:pPr>
        <w:pStyle w:val="ListBullet"/>
      </w:pPr>
      <w:r>
        <w:rPr>
          <w:b/>
        </w:rPr>
        <w:t>KO positive-control circularity.</w:t>
      </w:r>
      <w:r>
        <w:t xml:space="preserve"> The KO positive-control class list (layerD_real_lincs.py KO_POSITIVE_CONTROLS) includes four anchor genes (adora3, cd63, ltf, col18a1) that are also objects of study in Layers C/E and the methylation anchor set; the class-level z-test is therefore partially circular. The four anchor-gene KO results individually: adora3 percentile 25.28% (NS), cd63 17.10% (NS, strong mimic), ltf 41.55% (p = 0.062), col18a1 44.17% (NS). We therefore report the KO class test as descriptive, and treat the anchor genes as KO candidates rather than as independent positive controls; a re-run excluding the four anchor genes would be needed for a non-circular class test.</w:t>
      </w:r>
    </w:p>
    <w:p>
      <w:pPr>
        <w:pStyle w:val="ListBullet"/>
      </w:pPr>
      <w:r>
        <w:t>All repositioning rests on LINCS consensus gene sets (overlap-enrichment, not full-ranked CMap τ); this is stated in Methods.</w:t>
      </w:r>
    </w:p>
    <w:p>
      <w:r>
        <w:t>---</w:t>
      </w:r>
    </w:p>
    <w:p>
      <w:pPr>
        <w:pStyle w:val="Heading1"/>
      </w:pPr>
      <w:r>
        <w:t>Conclusions</w:t>
      </w:r>
    </w:p>
    <w:p>
      <w:r>
        <w:t>## Conclusions</w:t>
      </w:r>
    </w:p>
    <w:p>
      <w:r>
        <w:t>POD is most parsimoniously modelled by a working two-axis hypothesis: a constitutive APOE ε4 susceptibility axis and a candidate peripheral immune activation state axis. The genetic dissociation between the two axes is not directly testable from GWAS alone (a GWAS measures germline variant–disease association, not transcriptional mediation) and is supported only indirectly by the transcriptomic (Layer B) and pharmacologic (Layer D) layers; the constitutive axis is itself entangled with broader Alzheimer's-disease liability (POD–AD genetic correlation ρ = 0.68 via APOE), a qualification rather than a refutation of the two-axis framing. Multi-omics integration and in-silico repositioning support—rather than establish—the immune state axis as a candidate, modifiable therapeutic target, with interferon-inhibition/glucocorticoid-class pathways as the leading, explicitly hypothesis-generating candidates; demonstrating that immune modulation alters POD requires a randomized interventional test, which the present observational study cannot supply. One qualification travels with this conclusion: the methylation correlate of the state axis is substantially associated with—not fully explained by—the post-operative leucocyte-composition shift rather than by cell-intrinsic reprogramming, so the epigenomic evidence for the state axis is weaker than its transcriptomic and pharmacologic support. We present the negative and null results as load-bearing parts of the argument.</w:t>
      </w:r>
    </w:p>
    <w:p>
      <w:r>
        <w:t>---</w:t>
      </w:r>
    </w:p>
    <w:p>
      <w:pPr>
        <w:pStyle w:val="Heading1"/>
      </w:pPr>
      <w:r>
        <w:t>Abbreviations</w:t>
      </w:r>
    </w:p>
    <w:p>
      <w:r>
        <w:t>## Abbreviations</w:t>
      </w:r>
    </w:p>
    <w:p>
      <w:r>
        <w:t>POD — postoperative delirium; POCD — postoperative cognitive dysfunction; PND — perioperative neurocognitive disorder; GWAS — genome-wide association study; LINCS L1000 — Library of Integrated Network-Based Cellular Signatures; KO — knockout; FDR — false discovery rate; BH — Benjamini–Hochberg; OR — odds ratio; LD — linkage disequilibrium; EPIC v2 — Illumina Infinium MethylationEPIC v2; scRNA-seq — single-cell RNA sequencing; PBMC — peripheral blood mononuclear cell; DMP — differentially methylated probe; DMR — differentially methylated region; MWU — Mann–Whitney U test; WMA — within-subject methylation autoregression; NNLS — non-negative least squares; SVD — singular value decomposition; CPM — counts per million; CP — the Teschendorff CP deconvolution solver; CBS — the CBS deconvolution solver; RPC — the RPC deconvolution solver; λ — genomic-control inflation factor.</w:t>
      </w:r>
    </w:p>
    <w:p>
      <w:pPr>
        <w:pStyle w:val="Heading1"/>
      </w:pPr>
      <w:r>
        <w:t>Declarations</w:t>
      </w:r>
    </w:p>
    <w:p>
      <w:r>
        <w:t>## Declarations</w:t>
      </w:r>
    </w:p>
    <w:p>
      <w:r>
        <w:rPr>
          <w:b/>
        </w:rPr>
        <w:t>Ethics approval and consent to participate.</w:t>
      </w:r>
      <w:r>
        <w:t xml:space="preserve"> The original GEO and GWAS studies obtained ethics approval and informed consent from their participants. This study is a secondary analysis of publicly available, de-identified datasets (GEO and published GWAS summary statistics) and is exempt from separate Institutional Review Board review as secondary research on publicly available, de-identified data.</w:t>
      </w:r>
    </w:p>
    <w:p>
      <w:r>
        <w:rPr>
          <w:b/>
        </w:rPr>
        <w:t>Consent for publication.</w:t>
      </w:r>
      <w:r>
        <w:t xml:space="preserve"> Not applicable.</w:t>
      </w:r>
    </w:p>
    <w:p>
      <w:r>
        <w:rPr>
          <w:b/>
        </w:rPr>
        <w:t>Data availability.</w:t>
      </w:r>
      <w:r>
        <w:t xml:space="preserve"> All analysis code, intermediate result tables, the LINCS gene-set libraries used, and a MANIFEST.sha256 checksum file are publicly available in the GitHub repository at https://github.com/yyx-4113/pod-immune-hub-repositioning; a permanent, versioned Zenodo archive (DOI to be assigned upon acceptance) will mirror the tagged release. Source data: GSE163943, GSE252572, GSE330869 (NCBI GEO); Armstrong POD GWAS summary statistics (Armstrong et al., *PLOS Medicine* 2026, DOI 10.1371/journal.pmed.1004963; summary-statistics data DOI 10.5523/bris.1m83zai2e26yq2lro3tixz9kqq); LINCS L1000 consensus signatures (Enrichr / maayanlab.cloud).</w:t>
      </w:r>
    </w:p>
    <w:p>
      <w:r>
        <w:rPr>
          <w:b/>
        </w:rPr>
        <w:t>Funding.</w:t>
      </w:r>
      <w:r>
        <w:t xml:space="preserve"> None.</w:t>
      </w:r>
    </w:p>
    <w:p>
      <w:r>
        <w:rPr>
          <w:b/>
        </w:rPr>
        <w:t>Author contributions.</w:t>
      </w:r>
      <w:r>
        <w:t xml:space="preserve"> YY meets all four ICMJE authorship criteria (substantial contributions to conception and design; acquisition, analysis, and interpretation of data; drafting and revising the manuscript; final approval of the version to be published; and agreement to be accountable for all aspects of the work). No other individual qualifies for authorship. YY is the sole author and guarantor of the work. The author holds a Bachelor of Medicine (B.M.) degree; no postgraduate degree (MD/PhD/MS) is claimed.</w:t>
      </w:r>
    </w:p>
    <w:p>
      <w:r>
        <w:rPr>
          <w:b/>
        </w:rPr>
        <w:t>Competing interests.</w:t>
      </w:r>
      <w:r>
        <w:t xml:space="preserve"> The author declares no competing interests.</w:t>
      </w:r>
    </w:p>
    <w:p>
      <w:r>
        <w:rPr>
          <w:b/>
        </w:rPr>
        <w:t>Acknowledgements.</w:t>
      </w:r>
      <w:r>
        <w:t xml:space="preserve"> The author thanks the data generators of the Gene Expression Omnibus (GSE163943, GSE252572, GSE330869), the UK Biobank delirium GWAS (Armstrong et al.), and the LINCS L1000 / Enrichr consortium (maayanlab.cloud) for making their data publicly available. Computational work used managed Python 3.13 with numpy, scipy, and pandas; R/Bioconductor packages limma, minfi, EpiDISH, bumphunter, and glmnet; and the LINCS/Enrichr APIs.</w:t>
      </w:r>
    </w:p>
    <w:p>
      <w:r>
        <w:t>---</w:t>
      </w:r>
    </w:p>
    <w:p>
      <w:pPr>
        <w:pStyle w:val="Heading1"/>
      </w:pPr>
      <w:r>
        <w:t>References</w:t>
      </w:r>
    </w:p>
    <w:p>
      <w:r>
        <w:t>## References</w:t>
      </w:r>
    </w:p>
    <w:p>
      <w:r>
        <w:t>1. Meza Monge K, Shapiro AL, Coughlan C, Mungo B, Schulick R, Pratap A, Kovacs EJ, Idrovo JP. From Bench to Bedside: New Frontiers in Understanding and Treating Postoperative Delirium. *J Clin Med.* 2025;14(23):8418. doi:10.3390/jcm14238418. PMID 41375722; PMCID PMC12692889.</w:t>
      </w:r>
    </w:p>
    <w:p>
      <w:r>
        <w:t>2. Mosharaf MP, Alam K, Gow J, Mahumud RA. Cytokines and inflammatory biomarkers and their association with post-operative delirium: a meta-analysis and systematic review. *Sci Rep.* 2025;15(1):7830. doi:10.1038/s41598-024-82992-6. PMID 40050293; PMCID PMC11885470.</w:t>
      </w:r>
    </w:p>
    <w:p>
      <w:r>
        <w:t>3. Hsiao WJ, Chen CY, Kang YN, Hu CJ, Chen CH, Lin PL, Lin YC. Apolipoprotein E4 allele is genetically associated with risk of the short- and medium-term postoperative cognitive dysfunction: a meta-analysis and trial sequential analysis. *PLoS One.* 2023;18(8):e0282214. doi:10.1371/journal.pone.0282214. PMCID PMC9955600.</w:t>
      </w:r>
    </w:p>
    <w:p>
      <w:r>
        <w:t>4. Wu J, Cheng Z, Liao X, Yang P, Wu Q, Wang T, Meng W, Tang Z, Du L. Perioperative Profiles of Immune Cells in Patients with Postoperative Delirium After Cardiac Surgery with Cardiopulmonary Bypass. *Biomedicines.* 2025;13(12):2962. doi:10.3390/biomedicines13122962. PMID 41462974; PMCID PMC12730709. (GSE252572 source publication)</w:t>
      </w:r>
    </w:p>
    <w:p>
      <w:r>
        <w:t>5. Song Y, Wang X, Hou A, Li H, Lou J, Liu Y, Cao J, Mi W. Integrative analysis of lncRNA and mRNA expression profiles in postoperative delirium patients. *Front Aging Neurosci.* 2021;13:665935. doi:10.3389/fnagi.2021.665935. PMID 34093168; PMCID PMC8171121. (GSE163943 source publication)</w:t>
      </w:r>
    </w:p>
    <w:p>
      <w:r>
        <w:t>6. Seki T, Nishitani S, Nishizawa Y, Yamanishi K, Shimura A, Nishiguchi T, Ishii T, Aoyama B, Santiago TA, Phuong NJ, Gorantla N, Nguyen HD, Takeda R, Kameoka T, Inoue T, Sugiyama D, Ueda K, Yamanashi T, Shinozaki G. Epigenetic biomarker of delirium risk. *Transl Psychiatry.* 2026;16(1):349. PMID 42143058; PMCID PMC13347018; DOI 10.1038/s41398-026-04067-6. (GSE330869)</w:t>
      </w:r>
    </w:p>
    <w:p>
      <w:r>
        <w:t>7. Armstrong RA, Yousefi P, Gibbison B, Khandaker GM, Gaunt TR. The genetic architecture of postoperative delirium after major surgery and its relationship with nonpostoperative neurocognitive conditions: A genome-wide association study. *PLOS Medicine*. 2026;23(3):e1004963. doi:10.1371/journal.pmed.1004963. PMID 41770756. Summary statistics deposited at the University of Bristol Research Data Repository, data DOI 10.5523/bris.1m83zai2e26yq2lro3tixz9kqq.</w:t>
      </w:r>
    </w:p>
    <w:p>
      <w:r>
        <w:t>8. Subramanian A, Narayan R, Corsello SM, Peck DD, Natoli TE, Lu X, Gould J, Davis JF, Tubelli AA, Asiedu JK, Lahr DL, Hirschman JE, Liu Z, Donahue M, Julian B, Khan M, Wadden D, Smith IC, Lam D, Liberzon A, Toder C, Bagul M, Orzechowski M, Enache OM, Piccioni F, Johnson SA, Lyons NJ, Berger AH, Shamji AF, Brooks AN, Vrcic A, Flynn C, Rosains J, Takeda DY, Hu R, Davison D, Lamb J, Ardlie K, Hogstrom L, Greenside P, Gray NS, Clemons PA, Silver S, Wu X, Zhao WN, Read-Button W, Wu X, Haggarty SJ, Ronco LV, Boehm JS, Schreiber SL, Doench JG, Bittker JA, Root DE, Wong B, Golub TR. A next-generation connectivity map. *Cell.* 2017;171(6):1437–1452. (LINCS L1000)</w:t>
      </w:r>
    </w:p>
    <w:p>
      <w:r>
        <w:t>9. Kuleshov MV, Jones MR, Rouillard AD, Fernandez NF, Duan Q, Wang Z, Koplev S, Jenkins SL, Jagodnik KM, Lachmann A, McDermott MG, Monteiro CD, Gundersen GW, Ma'ayan A. Enrichr: a comprehensive gene-set enrichment analysis web server. *Nucleic Acids Res.* 2016;44(W1):W90–W97.</w:t>
      </w:r>
    </w:p>
    <w:p>
      <w:r>
        <w:t>10. Houseman EA, Accomando WP, Koestler DC, Christensen BC, Marsit CJ, Nelson HH, Wiencke JK, Kelsey KT. DNA methylation arrays as surrogate measures of cell mixture distribution. *BMC Bioinformatics.* 2012;13:86. doi:10.1186/1471-2105-13-86. (reference-based deconvolution, original method)</w:t>
      </w:r>
    </w:p>
    <w:p>
      <w:r>
        <w:t>11. Teschendorff AE, Breeze CE, Zheng SC, Beck S. A comparison of reference-based algorithms for correcting cell-type heterogeneity in Epigenome-Wide Association Studies. *BMC Bioinformatics.* 2017;18:105. doi:10.1186/s12859-017-1511-5. (CP / CBS / RPC solvers benchmarked)</w:t>
      </w:r>
    </w:p>
    <w:p>
      <w:r>
        <w:t>12. Zheng SC, Breeze CE, Beck S, Teschendorff AE. Identification of differentially methylated cell-types in Epigenome-Wide Association Studies. *Nat Methods.* 2018;15(12):1059–1066. doi:10.1038/s41592-018-0213-x. (EpiDISH package; reference centroids used here)</w:t>
      </w:r>
    </w:p>
    <w:p>
      <w:r>
        <w:t>13. Newman AM, Liu CL, Green MR, Gentles AJ, Feng W, Xu Y, Hoang CD, Diehn M, Alizadeh AA. Robust enumeration of cell subsets from tissue expression profiles. *Nat Methods.* 2015;12(5):453–457. doi:10.1038/nmeth.3337. (CIBERSORT nu-SVR)</w:t>
      </w:r>
    </w:p>
    <w:p>
      <w:r>
        <w:t>14. Jumper J, Evans R, Pritzel A, Green T, Figurnov M, Ronneberger O, Tunyasuvunakool K, Bates R, Žídek A, Potapenko A, Bridgland A, Meyer C, Kohl SAA, Ballard AJ, Cowie A, Romera-Paredes B, Nikolov S, Jain R, Adler J, Back T, Petersen S, Reiman D, Clancy E, Zielinski M, Steinegger M, Pacholska M, Berghammer T, Bodenstein S, Silver D, Vinyals O, Senior AW, Kavukcuoglu K, Kohli P, Hassabis D. Highly accurate protein structure prediction with AlphaFold. *Nature.* 2021;596(7873):583–589. doi:10.1038/s41586-021-03819-2.</w:t>
      </w:r>
    </w:p>
    <w:p>
      <w:r>
        <w:t>15. Li LQ, Wang C, Fang MD, Xu HY, Lu HL, Zhang HZ. Effects of dexamethasone on postoperative cognitive dysfunction and delirium in adults following general anaesthesia: a meta-analysis of randomised controlled trials. *BMC Anesthesiol.* 2019;19:113. doi:10.1186/s12871-019-0783-x.</w:t>
      </w:r>
    </w:p>
    <w:p>
      <w:r>
        <w:t>16. Xu XQ, Luo JZ, Li XY, Tang HQ, Lu WH. Effects of perioperative rosuvastatin on postoperative delirium in elderly patients: a randomized, double-blind, and placebo-controlled trial. *World J Clin Cases.* 2021;9(21):5909–5920. PMID 34368309. doi:10.12998/wjcc.v9.i21.5909.</w:t>
      </w:r>
    </w:p>
    <w:p>
      <w:r>
        <w:t>17. Nishizawa Y, Thompson KC, Yamanashi T, Wahba NE, Saito T, Marra PS, Nagao T, Nishiguchi T, Shibata K, Yamanishi K, Hughes CG, Pandharipande P, Cho H, Howard MA, Kawasaki H, Toda H, Kanazawa T, Iwata M, Shinozaki G. Epigenetic signals associated with delirium replicated across four independent cohorts. *Transl Psychiatry.* 2024;14(1):275. PMID 38965205. doi:10.1038/s41398-024-02986-w.</w:t>
      </w:r>
    </w:p>
    <w:p>
      <w:r>
        <w:t>18. Sarejloo S, Shojaei N, Lucke-Wold B, Zelmanovich R, Khanzadeh S. Neutrophil to lymphocyte ratio and platelet to lymphocyte ratio as prognostic predictors for delirium in critically ill patients: a systematic review and meta-analysis. *BMC Anesthesiol.* 2023;23:58. PMID 36803215. doi:10.1186/s12871-023-01997-2.</w:t>
      </w:r>
    </w:p>
    <w:p>
      <w:r>
        <w:t>19. Xiao MZ, Liu CX, Zhou LG, Yang Y, Wang Y. Postoperative delirium, neuroinflammation, and influencing factors of postoperative delirium: a review. *Medicine (Baltimore).* 2023;102(8):e32991. PMID 36827061. doi:10.1097/MD.0000000000032991.</w:t>
      </w:r>
    </w:p>
    <w:p>
      <w:r>
        <w:t>20. van der Putten C, Zuiderwijk-Sick EA, van Straalen L, de Geus ED, Boven LA, Kondova I, IJzerman AP, Bajramovic JJ. Differential expression of adenosine A3 receptors controls adenosine A2A receptor-mediated inhibition of TLR responses in microglia. *J Immunol.* 2009;182(12):7603–7612. doi:10.4049/jimmunol.0803383.</w:t>
      </w:r>
    </w:p>
    <w:p>
      <w:r>
        <w:t>21. Devinney MJ, Wong MK, Wright MC, Marcantonio ER, Terrando N, Browndyke JN, Whitson HE, Cohen HJ, Nackley AG, Klein ME, Ely EW, Mathew JP, Berger M, MADCO-PC and INTUIT Study Teams. Role of blood-brain barrier dysfunction in delirium following non-cardiac surgery in older adults. *Ann Neurol.* 2023;94(6):1024–1035. PMID 37615660. doi:10.1002/ana.26771.</w:t>
      </w:r>
    </w:p>
    <w:p>
      <w:r>
        <w:t>22. Mardani D, Bigdelian H. Prophylaxis of dexamethasone protects patients from further postoperative delirium after cardiac surgery: a randomized trial. *J Res Med Sci.* 2013;18(2):137–143. PMID 23914217.</w:t>
      </w:r>
    </w:p>
    <w:p>
      <w:r>
        <w:t>23. Rebola N, Simões AP, Canas PM, Tomé AR, Andrade GM, Barry CE, Agostinho PM, Lynch MA, Cunha RA. Adenosine A2A receptors control neuroinflammation and consequent hippocampal neuronal dysfunction. *J Neurochem.* 2011;117(1):100–111. PMID 21235574. doi:10.1111/j.1471-4159.2011.07178.x.</w:t>
      </w:r>
    </w:p>
    <w:p>
      <w:r>
        <w:t>24. Martí Navia A, Dal Ben D, Lambertucci C, Spinaci A, Volpini R, Marques-Morgado I, Coelho JE, Lopes LV, Marucci G, Buccioni M. Adenosine receptors as neuroinflammation modulators: role of A1 agonists and A2A antagonists. *Cells.* 2020;9(7):1739. PMID 32708189. doi:10.3390/cells9071739.</w:t>
      </w:r>
    </w:p>
    <w:p>
      <w:r>
        <w:t>25. Serrano-Pozo A, Li Z, Noori A, Nguyen HN, Mezlini A, Li L, Hudry E, Jackson RJ, Hyman BT, Das S. Effect of APOE alleles on the glial transcriptome in normal aging and Alzheimer's disease. *Nat Aging.* 2021;1(10):919–931. PMID 36199750. doi:10.1038/s43587-021-00123-6.</w:t>
      </w:r>
    </w:p>
    <w:p>
      <w:r>
        <w:t>26. Page VJ, Casarin A, Ely EW, Zhao XB, McDowell C, Murphy L, McAuley DF. Evaluation of early administration of simvastatin in the prevention and treatment of delirium in critically ill patients undergoing mechanical ventilation (MoDUS): a randomised, double-blind, placebo-controlled trial. *Lancet Respir Med.* 2017;5(9):727–737. PMID 28734823. doi:10.1016/S2213-2600(17)30234-5.</w:t>
      </w:r>
    </w:p>
    <w:p>
      <w:r>
        <w:t>27. Eckenhoff RG, Maze M, Xie Z, Culley DJ, Goodlin SJ, Zuo Z, Wei H, Whittington RA, Terrando N, Orser BA, Eckenhoff MF. Perioperative neurocognitive disorder: state of the preclinical science. *Anesthesiology.* 2020;132(1):55–68. PMID 31834869. doi:10.1097/ALN.0000000000002956.</w:t>
      </w:r>
    </w:p>
    <w:p>
      <w:r>
        <w:t>28. Jackson RJ, Meltzer JC, Nguyen H, Commins C, Bennett RE, Hudry E, Hyman BT. APOE4 derived from astrocytes leads to blood-brain barrier impairment. *Brain.* 2022;145(10):3582–3593. PMID 34957486. doi:10.1093/brain/awab478.</w:t>
      </w:r>
    </w:p>
    <w:p>
      <w:r>
        <w:t>29. Kong H, Xu LM, Wang DX. Perioperative neurocognitive disorders: a narrative review focusing on diagnosis, prevention, and treatment. *CNS Neurosci Ther.* 2022;28(8):1147–1167. PMID 35652170.</w:t>
      </w:r>
    </w:p>
    <w:p>
      <w:r>
        <w:t>30. Aldecoa C, Bettelli G, Bilotta F, Sanders RD, Audisio R, Borozdina A, Cherubini A, Jones C, Kehlet H, MacLullich A, Radtke F, Riese F, Slooter AJ, Veyckemans F, Kramer S, Neuner B, Weiss B, Spies CD. European Society of Anaesthesiology evidence-based and consensus-based guideline on postoperative delirium. *Eur J Anaesthesiol.* 2017;34(4):192–214. PMID 28187050. doi:10.1097/EJA.0000000000000594.</w:t>
      </w:r>
    </w:p>
    <w:p>
      <w:r>
        <w:t>31. Dai WB, Zhang X, Jiang XL, Zhang YZ, Chen LK, Tian WT, Zhou XX, Sun XY, Huang LL, Gu XY, Chen XM, Wu XD, Tian J, Yu WF, Shen L, Su DS. The kynurenine pathway regulated by intestinal innate lymphoid cells mediates postoperative cognitive dysfunction. *Mucosal Immunol.* 2025;18(1):53–65. PMID 39251184. doi:10.1016/j.mucimm.2024.09.002.</w:t>
      </w:r>
    </w:p>
    <w:p>
      <w:r>
        <w:t>32. Huang K, Lalagkas PN, Sultan B, Melamed R. Exploiting similarity in drug molecular effects for drug repurposing. *Hum Genomics.* 2025;19:110. PMID 41029350. PMCID PMC12487472. doi:10.1186/s40246-025-00808-8.</w:t>
      </w:r>
    </w:p>
    <w:p>
      <w:r>
        <w:t>33. Lee H, Lee C, Hong H, Yu H. Preoperative and early postoperative neutrophil-to-lymphocyte ratio for predicting delirium after laparoscopic gynecologic surgery in elderly women: a retrospective cohort study with an outcome-matched nested case-control analysis and internal validation. *Anesth Pain Med.* 2026;21(3):413–424. doi:10.17085/apm.25489.</w:t>
      </w:r>
    </w:p>
    <w:p>
      <w:r>
        <w:t>34. Shan L, Zheng K, Dai W, Wang Y, Hao P. Comparative analysis of inflammatory markers as predictive markers for postoperative delirium in cardiac surgery patients: an observational study. *Front Med (Lausanne).* 2025;12:1515940. PMID 40236455. doi:10.3389/fmed.2025.1515940.</w:t>
      </w:r>
    </w:p>
    <w:p>
      <w:r>
        <w:t>35. Cheng C, Wan H, Cong P, Huang X, Wu T, He M, Zhang Q, Xiong L, Tian L. Targeting neuroinflammation as a preventive and therapeutic approach for perioperative neurocognitive disorders. *J Neuroinflammation.* 2022;19(1):297. PMID 36503642. doi:10.1186/s12974-022-02656-y.</w:t>
      </w:r>
    </w:p>
    <w:p>
      <w:r>
        <w:t>36. Hirsch J, Vacas S, Terrando N, Yuan M, Sands LP, Kramer J, Bozic K, Maze MM, Leung JM. Perioperative cerebrospinal fluid and plasma inflammatory markers after orthopedic surgery. *J Neuroinflammation.* 2016;13(1):211. PMID 27577265. doi:10.1186/s12974-016-0681-9.</w:t>
      </w:r>
    </w:p>
    <w:p>
      <w:r>
        <w:t>37. Taylor J, Parker M, Casey CP, Tanabe S, Kunkel D, Rivera C, Zetterberg H, Blennow K, Pearce RA, Lennertz RC, Sanders RD. Postoperative delirium and changes in the blood-brain barrier, neuroinflammation, and cerebrospinal fluid lactate: a prospective cohort study. *Br J Anaesth.* 2022;129(2):219–230. PMID 35144802. PMCID PMC9465948. doi:10.1016/j.bja.2022.01.005.</w:t>
      </w:r>
    </w:p>
    <w:p>
      <w:r>
        <w:t>38. Wahba NE, Nishizawa Y, Marra PS, Yamanashi T, Crutchley KJ, Nagao T, Shibata K, Nishiguchi T, Cho H, Howard MA, Kawasaki H, Hefti M, Kanazawa T, Shinozaki G. Genome-wide DNA methylation analysis of post-operative delirium with brain, blood, saliva, and buccal samples from neurosurgery patients. *J Psychiatr Res.* 2022;156:245–251. PMID 36270064. doi:10.1016/j.jpsychires.2022.10.023.</w:t>
      </w:r>
    </w:p>
    <w:p>
      <w:r>
        <w:t>39. Paternò DS, Via L, Putaggio A, Piccolo A, Scibilia G, Lentini M, Maniaci A, Luca F, Giudice ECL, Sorbello M. Perioperative neurocognitive disorders: a narrative review of pathophysiology, prevention, and management strategies. *J Clin Med.* 2026;15(3):1253. doi:10.3390/jcm15031253.</w:t>
      </w:r>
    </w:p>
    <w:p>
      <w:r>
        <w:t>40. Qin M, Deng Y. Anesthesia-related factors in the pathogenesis of postoperative cognitive dysfunction: a mechanistic perspective. *Front Neurol.* 2026;16:1700911. doi:10.3389/fneur.2025.1700911.</w:t>
      </w:r>
    </w:p>
    <w:p>
      <w:r>
        <w:t>---</w:t>
      </w:r>
    </w:p>
    <w:p>
      <w:r>
        <w:t>*Manuscript version 1 — multi-omics + in-silico repositioning. All quantitative claims trace to analysis artefacts under `pod-epigenetic-immune-repositioning/analysis/results/GSE330869/` (Layer A: `layerA_topDMP.csv`, `layerA_core_snapshot.txt`, `layerA_summary.txt`, `layerA_results.rds`). Target journal: Journal of Neuroinflammation (2025 JCR JIF 11.5, Q1, SCIE, open access; scope includes peripheral immune–nervous system interactions). Journal metrics verified 2026-09-20 via Springer Nature and Clarivate JCR listings. Layer A was recomputed in-house (R/Bioconductor, EPIC v2, 312,514 autosomal gene-mapped probes, 65 paired POD cases) on 2026-09-21.*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