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two-axis hypothesis for postoperative delirium: APOE ε4 constitutive susceptibility and a peripheral immune state axis supported by multi-omics integration, with an in-silico, hypothesis-generating drug-repositioning screen</w:t>
      </w:r>
    </w:p>
    <w:p>
      <w:r>
        <w:t># A two-axis hypothesis for postoperative delirium: APOE ε4 constitutive susceptibility and a peripheral immune state axis supported by multi-omics integration, with an in-silico, hypothesis-generating drug-repositioning screen</w:t>
      </w:r>
    </w:p>
    <w:p>
      <w:r>
        <w:rPr>
          <w:b/>
        </w:rPr>
        <w:t>Yongxin Yang</w:t>
      </w:r>
      <w:r>
        <w:t>^1^✉</w:t>
      </w:r>
    </w:p>
    <w:p>
      <w:r>
        <w:t>^1^ Department of Anesthesiology, The Second Affiliated Hospital of Fujian University of Traditional Chinese Medicine, Fuzhou, Fujian 350003, China</w:t>
      </w:r>
    </w:p>
    <w:p>
      <w:r>
        <w:t>✉ Corresponding author: 960856791@qq.com | ORCID: 0009-0004-9698-6552</w:t>
      </w:r>
    </w:p>
    <w:p>
      <w:r>
        <w:t>---</w:t>
      </w:r>
    </w:p>
    <w:p>
      <w:pPr>
        <w:pStyle w:val="Heading1"/>
      </w:pPr>
      <w:r>
        <w:t>Abstract</w:t>
      </w:r>
    </w:p>
    <w:p>
      <w:r>
        <w:t>## Abstract</w:t>
      </w:r>
    </w:p>
    <w:p>
      <w:r>
        <w:rPr>
          <w:b/>
        </w:rPr>
        <w:t>Background.</w:t>
      </w:r>
      <w:r>
        <w:t xml:space="preserve"> Postoperative delirium (POD) is common and morbid, but its molecular architecture is unresolved. A peripheral innate-immune activation state is widely hypothesised yet never triangulated against constitutive APOE ε4 susceptibility in one multi-omics framework.</w:t>
      </w:r>
    </w:p>
    <w:p>
      <w:r>
        <w:rPr>
          <w:b/>
        </w:rPr>
        <w:t>Methods.</w:t>
      </w:r>
      <w:r>
        <w:t xml:space="preserve"> We integrated four public layers: a blood transcriptome (GSE163943, n = 8); paired pre-/post-operative peripheral-blood-mononuclear-cell single-cell RNA-seq (GSE252572); paired pre-/post-operative blood methylation (GSE330869, 65 POD cases, EPIC v2), recomputed in-house; and a POD genome-wide association study (1,016 cases / 139,148 controls). Drug repositioning used LINCS L1000 consensus signatures with pre-specified positive controls and a size-matched empirical null. Cell composition was estimated by reference-based deconvolution and entered as a covariate in sensitivity analyses.</w:t>
      </w:r>
    </w:p>
    <w:p>
      <w:r>
        <w:rPr>
          <w:b/>
        </w:rPr>
        <w:t>Results.</w:t>
      </w:r>
      <w:r>
        <w:t xml:space="preserve"> (1) Immune genes were directionally elevated in POD blood (p = 0.0079). (2) The genome-wide association study was APOE ε4-driven (rs429358, odds ratio 1.86 per ε4 allele; 37 genome-wide-significant variants, all chromosome 19); excluding chromosome 19, the immune gene set was null (p = 0.277). (3) Glucocorticoids gave a marginal directional signal on the immune-restricted signature (one-sided p = 0.041, two-sided 0.081); six interferon-γ perturbations reversed the signature (best FDR 1.9 × 10⁻⁴), partly tautological given its interferon-stimulated-gene content. (4) Single-cell peripheral-blood-mononuclear-cell proportions did not shift (minimum p = 0.23), and the methylation anchors TMIGD3/ADORA3 were unexpressed there. (5) Six differentially methylated positions reached FDR &lt; 0.05; a directional probe-set test was hypothesis-generating (one-sided p = 0.041, unadjusted and not composition-validated; its only adjusted analogue was null, 0.296/0.098/0.141). Deconvolution recovered the canonical post-operative leucocyte shift (neutrophils +3.4 percentage points, p ≈ 10⁻³); composition adjustment removed 46–61% of differentially methylated regions (descriptive, no permutation; not a confidence interval), while the immune-overlapping proportion stayed flat (0.59% → 0.47–0.50%), leaving the immune-specific conclusion to the probe-level enrichment test (p = 2.46 × 10⁻⁴ → 0.724/0.55).</w:t>
      </w:r>
    </w:p>
    <w:p>
      <w:r>
        <w:rPr>
          <w:b/>
        </w:rPr>
        <w:t>Conclusions.</w:t>
      </w:r>
      <w:r>
        <w:t xml:space="preserve"> POD is parsimoniously described by a working two-axis hypothesis: a constitutive APOE ε4 susceptibility axis plus a candidate, perioperatively triggerable peripheral immune activation state axis; their genetic dissociation is not directly testable here. The state axis is a candidate therapeutic target whose modifiability remains unproven; repositioning supplies hypotheses, not efficacy evidence.</w:t>
      </w:r>
    </w:p>
    <w:p>
      <w:r>
        <w:rPr>
          <w:b/>
        </w:rPr>
        <w:t>Keywords:</w:t>
      </w:r>
      <w:r>
        <w:t xml:space="preserve"> postoperative delirium; APOE ε4; innate immunity; multi-omics; LINCS L1000; drug repositioning; virtual knockout; genome-wide association study</w:t>
      </w:r>
    </w:p>
    <w:p>
      <w:r>
        <w:t>---</w:t>
      </w:r>
    </w:p>
    <w:p>
      <w:pPr>
        <w:pStyle w:val="Heading1"/>
      </w:pPr>
      <w:r>
        <w:t>Background</w:t>
      </w:r>
    </w:p>
    <w:p>
      <w:r>
        <w:t>## Background</w:t>
      </w:r>
    </w:p>
    <w:p>
      <w:r>
        <w:t>Postoperative delirium (POD) affects 10–50% of older surgical patients and is associated with longer hospital stays, cognitive decline, and mortality [1,29,30,39]. POD (acute, days) is clinically distinct from postoperative cognitive dysfunction (POCD, subacute/chronic, weeks–months) [41]; this paper concerns POD, and POCD/PND are cited only as best-available proxies where POD-specific evidence is absent. Despite its prevalence, mechanism-guided prevention is lacking [30]. Two non-exclusive lines of evidence dominate the literature. First, a state of innate-immune activation—peripheral leukocyte transcriptional reprogramming, cytokine release, and blood–brain barrier disruption—has been repeatedly observed around the time of surgery [2,19,36], and neuroinflammation is now viewed as a core, potentially tractable POD/PND mechanism [35], in line with the neuroinflammatory hypothesis of delirium [42,43] and its framing as a systemic inflammatory brain response in older adults [44]. Blood–brain barrier breakdown accompanying surgery correlates with delirium and with cerebrospinal-fluid inflammatory and metabolic changes [21,37]; peripheral damage-associated molecular patterns such as HMGB1 can activate microglia and propagate this signal to the brain [45]. Second, the APOE ε4 allele, the principal genetic risk factor for Alzheimer's disease, is a replicated epidemiological risk factor for short-/medium-term postoperative cognitive dysfunction (POCD) [3] (the same meta-analysis reported a non-significant POD subgroup association: OR 1.28, 95% CI 0.85–1.91, p = 0.23), and in the largest POD-specific GWAS to date APOE ε4 is the dominant genetic signal for POD [7]; APOE isoforms shape the human glial transcriptome in aging and Alzheimer's disease [25], and astrocyte-derived APOE4 impairs the blood–brain barrier [28]. A two-hit framework is increasingly used to organise these observations—a pre-existing vulnerability (e.g. APOE ε4, ageing) plus a perioperative second hit (surgery, anaesthesia, innate-immune activation) [27,40]. Peripheral immune signals reach the brain through multiple routes, including leucocyte subset shifts and cytokine transport [36]; purinergic signalling through adenosine receptors modulates microglial and neuroinflammatory responses [20,23,24]; and the kynurenine pathway has also been implicated [31]. Consistent with a peripheral leucocyte contribution, preoperative and early postoperative neutrophil-to-lymphocyte ratio and other inflammatory markers have been associated with POD [18,33,34]—noting that [18] is a mixed critical-illness meta-analysis whose surgical-POD subgroup estimate (WMD 1.14) is much weaker than its ICU subgroup (4.22), limiting direct inference to elective surgical POD.</w:t>
      </w:r>
    </w:p>
    <w:p>
      <w:r>
        <w:t>What has been missing is a framework that places these two observations in the same causal graph. Are they the same axis (APOE ε4 acts *through* immune activation), or two independent axes (constitutive susceptibility plus a separately triggerable immune state)? Resolving this matters for therapeutics: if they are one axis, immune-modulating drugs would merely track a fixed genotype; if they are two axes, immune modulation becomes a candidate, interventionally testable target—candidate-modifiable in the sense of being unfixed by genotype, not established as modifiable by evidence of efficacy. We use 'peripheral immune activation state axis' as a working, integrative construct—spanning directional blood-transcriptomic immune upregulation, a largely leucocyte-composition-associated perioperative methylation shift, and in-silico immune-signature reversibility—not a single measured endpoint; each component is hypothesis-generating.</w:t>
      </w:r>
    </w:p>
    <w:p>
      <w:r>
        <w:t>We addressed this using a multi-omics integration strategy anchored on publicly available POD datasets, an in-silico drug-repositioning screen against the LINCS L1000 resource (chemical and virtual-knockout arms), and genetic confirmation from a large POD GWAS. Critically, we fixed our analytic decisions and positive controls *a priori* (documented in the version-controlled analysis repository, with its commit history) rather than after seeing results, and we report null and negative findings without rescue. No formal registry entry (e.g. OSF) was created, and we therefore avoid the term “pre-registered” in its formal sense.</w:t>
      </w:r>
    </w:p>
    <w:p>
      <w:r>
        <w:t>---</w:t>
      </w:r>
    </w:p>
    <w:p>
      <w:pPr>
        <w:pStyle w:val="Heading1"/>
      </w:pPr>
      <w:r>
        <w:t>Methods</w:t>
      </w:r>
    </w:p>
    <w:p>
      <w:r>
        <w:t>## Methods</w:t>
      </w:r>
    </w:p>
    <w:p>
      <w:pPr>
        <w:pStyle w:val="Heading2"/>
      </w:pPr>
      <w:r>
        <w:t>Datasets</w:t>
      </w:r>
    </w:p>
    <w:p>
      <w:r>
        <w:t>### Datasets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t>Layer</w:t>
            </w:r>
          </w:p>
        </w:tc>
        <w:tc>
          <w:tcPr>
            <w:tcW w:type="dxa" w:w="2160"/>
          </w:tcPr>
          <w:p>
            <w:r/>
            <w:r>
              <w:t>Accession</w:t>
            </w:r>
          </w:p>
        </w:tc>
        <w:tc>
          <w:tcPr>
            <w:tcW w:type="dxa" w:w="2160"/>
          </w:tcPr>
          <w:p>
            <w:r/>
            <w:r>
              <w:t>Design</w:t>
            </w:r>
          </w:p>
        </w:tc>
        <w:tc>
          <w:tcPr>
            <w:tcW w:type="dxa" w:w="2160"/>
          </w:tcPr>
          <w:p>
            <w:r/>
            <w:r>
              <w:t>Role</w:t>
            </w:r>
          </w:p>
        </w:tc>
      </w:tr>
      <w:tr>
        <w:tc>
          <w:tcPr>
            <w:tcW w:type="dxa" w:w="2160"/>
          </w:tcPr>
          <w:p>
            <w:r/>
            <w:r>
              <w:t>Transcriptome</w:t>
            </w:r>
          </w:p>
        </w:tc>
        <w:tc>
          <w:tcPr>
            <w:tcW w:type="dxa" w:w="2160"/>
          </w:tcPr>
          <w:p>
            <w:r/>
            <w:r>
              <w:t>GSE163943 (Song 2021 [5], *Front Aging Neurosci*)</w:t>
            </w:r>
          </w:p>
        </w:tc>
        <w:tc>
          <w:tcPr>
            <w:tcW w:type="dxa" w:w="2160"/>
          </w:tcPr>
          <w:p>
            <w:r/>
            <w:r>
              <w:t>Whole blood, 4 POD vs 4 non-POD, Agilent Arraystar lncRNA V5 (GPL26963)</w:t>
            </w:r>
          </w:p>
        </w:tc>
        <w:tc>
          <w:tcPr>
            <w:tcW w:type="dxa" w:w="2160"/>
          </w:tcPr>
          <w:p>
            <w:r/>
            <w:r>
              <w:t>Immune gene-set enrichment; disease signature for LINCS</w:t>
            </w:r>
          </w:p>
        </w:tc>
      </w:tr>
      <w:tr>
        <w:tc>
          <w:tcPr>
            <w:tcW w:type="dxa" w:w="2160"/>
          </w:tcPr>
          <w:p>
            <w:r/>
            <w:r>
              <w:t>scRNA-seq</w:t>
            </w:r>
          </w:p>
        </w:tc>
        <w:tc>
          <w:tcPr>
            <w:tcW w:type="dxa" w:w="2160"/>
          </w:tcPr>
          <w:p>
            <w:r/>
            <w:r>
              <w:t>GSE252572 [4]</w:t>
            </w:r>
          </w:p>
        </w:tc>
        <w:tc>
          <w:tcPr>
            <w:tcW w:type="dxa" w:w="2160"/>
          </w:tcPr>
          <w:p>
            <w:r/>
            <w:r>
              <w:t>PBMC, 4 patients × pre + post-24h (7 of 8 libraries usable; 1 corrupted)</w:t>
            </w:r>
          </w:p>
        </w:tc>
        <w:tc>
          <w:tcPr>
            <w:tcW w:type="dxa" w:w="2160"/>
          </w:tcPr>
          <w:p>
            <w:r/>
            <w:r>
              <w:t>Cell-type localisation of anchors</w:t>
            </w:r>
          </w:p>
        </w:tc>
      </w:tr>
      <w:tr>
        <w:tc>
          <w:tcPr>
            <w:tcW w:type="dxa" w:w="2160"/>
          </w:tcPr>
          <w:p>
            <w:r/>
            <w:r>
              <w:t>Methylation</w:t>
            </w:r>
          </w:p>
        </w:tc>
        <w:tc>
          <w:tcPr>
            <w:tcW w:type="dxa" w:w="2160"/>
          </w:tcPr>
          <w:p>
            <w:r/>
            <w:r>
              <w:t>GSE330869 (Seki 2026 [6], *Transl Psychiatry*, PMID 42143058)</w:t>
            </w:r>
          </w:p>
        </w:tc>
        <w:tc>
          <w:tcPr>
            <w:tcW w:type="dxa" w:w="2160"/>
          </w:tcPr>
          <w:p>
            <w:r/>
            <w:r>
              <w:t>Blood, 65 POD cases paired pre/post, EPIC v2 (GPL33022)</w:t>
            </w:r>
          </w:p>
        </w:tc>
        <w:tc>
          <w:tcPr>
            <w:tcW w:type="dxa" w:w="2160"/>
          </w:tcPr>
          <w:p>
            <w:r/>
            <w:r>
              <w:t>Within-POD pre→post DMP + directional immune-probe test (in-house R/Bioconductor); benchmark vs Seki 2026</w:t>
            </w:r>
          </w:p>
        </w:tc>
      </w:tr>
      <w:tr>
        <w:tc>
          <w:tcPr>
            <w:tcW w:type="dxa" w:w="2160"/>
          </w:tcPr>
          <w:p>
            <w:r/>
            <w:r>
              <w:t>GWAS</w:t>
            </w:r>
          </w:p>
        </w:tc>
        <w:tc>
          <w:tcPr>
            <w:tcW w:type="dxa" w:w="2160"/>
          </w:tcPr>
          <w:p>
            <w:r/>
            <w:r>
              <w:t>Armstrong 2026 POD GWAS [7] (Armstrong et al., *PLOS Medicine* 2026, DOI 10.1371/journal.pmed.1004963, PMID 41770756; summary-statistics data DOI 10.5523/bris.1m83zai2e26yq2lro3tixz9kqq; UKB delirium, 1,016 cases / 139,148 controls)</w:t>
            </w:r>
          </w:p>
        </w:tc>
        <w:tc>
          <w:tcPr>
            <w:tcW w:type="dxa" w:w="2160"/>
          </w:tcPr>
          <w:p>
            <w:r/>
            <w:r>
              <w:t>Case–control</w:t>
            </w:r>
          </w:p>
        </w:tc>
        <w:tc>
          <w:tcPr>
            <w:tcW w:type="dxa" w:w="2160"/>
          </w:tcPr>
          <w:p>
            <w:r/>
            <w:r>
              <w:t>APOE ε4 effect; immune gene-set test</w:t>
            </w:r>
          </w:p>
        </w:tc>
      </w:tr>
    </w:tbl>
    <w:p>
      <w:pPr>
        <w:pStyle w:val="Heading2"/>
      </w:pPr>
      <w:r>
        <w:t>Pre/post-operative blood methylation (Layer A)</w:t>
      </w:r>
    </w:p>
    <w:p>
      <w:r>
        <w:t>### Pre/post-operative blood methylation (Layer A)</w:t>
      </w:r>
    </w:p>
    <w:p>
      <w:r>
        <w:t xml:space="preserve">GSE330869 provides 65 POD cases each with paired pre- and post-operative peripheral-blood EPIC v2 methylation profiles (130 samples); GEO deposition contains POD cases only (no non-delirium controls), so the analysable signal is the surgery-induced shift *within* POD. This POD-only deposition was verified by NCBI E-utilities and GEO FTP; Seki 2026's published Time×Group methylation anchors (e.g. cg01534316→TMIGD3/ADORA3, FDR = 0.021) derive from the full cohort including non-delirium controls that were not deposited to GEO. cg01534316 is a standard IlluminaHumanMethylationEPICv2 probe (present in the EPICv2anno.20a1.hg38 manifest), so the published anchor attribution is unaffected by the deposition design. We recomputed this layer in-house (R/Bioconductor). Cell composition was estimated by reference-based deconvolution (Houseman 2012 [10]; EpiDISH centCAB100i centroids [12]; CIBERSORT as a cross-check [13]) and entered as a covariate in the sensitivity analyses below. Autosomal, gene-mapped probes (n = 312,514) were taken forward. Paired differential methylation used limma empirical-Bayes moderation with patient as a blocking factor; a differential methylation probe (DMP) required FDR &lt; 0.05 and |Δβ| &gt; 0.05. Two immune gene sets are used in this paper and should not be conflated. </w:t>
      </w:r>
      <w:r>
        <w:rPr>
          <w:b/>
        </w:rPr>
        <w:t>Set 1</w:t>
      </w:r>
      <w:r>
        <w:t xml:space="preserve"> (Layer A, methylation, directional probe test): a curated NF-κB/leukocyte set of 49 genes, contributing 737 probes on the EPIC v2 array retained here. </w:t>
      </w:r>
      <w:r>
        <w:rPr>
          <w:b/>
        </w:rPr>
        <w:t>Set 2</w:t>
      </w:r>
      <w:r>
        <w:t xml:space="preserve"> (Layer B, transcriptome; also used for DMR gene-body mapping and for the composition-adjusted probe analysis): a broader 83-gene innate-immune set (see Layer B), contributing 1,195 probes on the retained EPIC v2 array. To test whether the immune axis is reflected in methylation beyond the few genome-wide DMPs, we performed a *directional* probe-level test mirroring Layer B: a two-sided Mann–Whitney U test on the distribution of within-POD pre→post limma t-statistics of Set-1 immune-gene probes (n = 737) versus all background probes (the direction is read from the sign of the statistic, not from a one-tailed test). An elastic-net within-subject methylation autoregression (WMA; glmnet, α = 0.5, 10-fold CV) related pre-operative immune-probe M-values to post-operative immune-probe M-values (cross-validated R² reported strictly as a within-subject retest descriptor of immune-methylation profile stability across surgery — </w:t>
      </w:r>
      <w:r>
        <w:rPr>
          <w:b/>
        </w:rPr>
        <w:t>not</w:t>
      </w:r>
      <w:r>
        <w:t xml:space="preserve"> as a methylation risk score predicting a phenotype, which the within-POD paired design here cannot supply). Differentially methylated regions (DMRs) were called with </w:t>
      </w:r>
      <w:r>
        <w:rPr>
          <w:b/>
        </w:rPr>
        <w:t>bumphunter</w:t>
      </w:r>
      <w:r>
        <w:t xml:space="preserve"> on the M-value scale (|ΔM| ≥ 0.05, length ≥ 3 probes); bumphunter was run with </w:t>
      </w:r>
      <w:r>
        <w:rPr>
          <w:b/>
        </w:rPr>
        <w:t>B = 0</w:t>
      </w:r>
      <w:r>
        <w:t xml:space="preserve"> (no permutation), so DMR counts are descriptive without empirical FDR control and should not be read as controlled counts. Two distinct composition-adjustment covariate sets were used and must not be conflated: (a) at the </w:t>
      </w:r>
      <w:r>
        <w:rPr>
          <w:b/>
        </w:rPr>
        <w:t>probe level</w:t>
      </w:r>
      <w:r>
        <w:t xml:space="preserve">, paired ΔM was regressed on the estimated change in neutrophils, lymphocytes, and monocytes (the classic three-lineage covariate); (b) at the </w:t>
      </w:r>
      <w:r>
        <w:rPr>
          <w:b/>
        </w:rPr>
        <w:t>DMR level</w:t>
      </w:r>
      <w:r>
        <w:t xml:space="preserve">, the bumphunter design additionally entered neutrophils, eosinophils, and basophils (granulocyte-subtype covariates, since eosinophils and basophils are sub-lineages rather than independent lineages). The two covariate sets therefore probe different biology and yield different attenuation magnitudes (see Results). Two caveats are material: (i) Day0/Day3 time points are not encoded in the GEO matrix header, so the WMA uses all post-operative profiles rather than a Day0-only baseline subgroup; (ii) DMR calling was performed with </w:t>
      </w:r>
      <w:r>
        <w:rPr>
          <w:b/>
        </w:rPr>
        <w:t>bumphunter</w:t>
      </w:r>
      <w:r>
        <w:t xml:space="preserve"> (minfi/Bioconductor, loadable here) rather than DMRcate, because DMRcate's compiled dependency segfaults on load under R 4.4.3 / ucrt and this environment has no Rtools to recompile it — bumphunter was run with </w:t>
      </w:r>
      <w:r>
        <w:rPr>
          <w:b/>
        </w:rPr>
        <w:t>B = 0 (no permutation)</w:t>
      </w:r>
      <w:r>
        <w:t xml:space="preserve">, so its DMRs are *descriptive* (no empirical FDR) and are used as a supportive regional view, not a genome-wide claim; (iii) cell-type composition was estimated by reference-based deconvolution implemented in </w:t>
      </w:r>
      <w:r>
        <w:rPr>
          <w:b/>
        </w:rPr>
        <w:t>Python</w:t>
      </w:r>
      <w:r>
        <w:t xml:space="preserve">, using the reference centroids bundled inside the already-installed `EpiDISH` package (`centBloodSub.m` 188x7, `centDHSbloodDMC.m` 333x7, `cent12CT.m` and `cent12CT450k.m` 600x12, and `centCAB100i.m` 1906x19). This route requires neither the platform manifest nor network access, so it is reproducible wherever `EpiDISH` and numpy/scipy/scikit-learn are present, and it supersedes the earlier manifest-dependent plan. Reference matrices were exported to text and solved as a constrained linear mixture on beta values (Houseman et al. 2012 [10]; solver comparison as in Teschendorff et al. 2017 [11]) (w_k &gt;= 0, sum w_k = 1) by four solvers - NNLS with an explicit sum-to-one penalty, NNLS with post-hoc normalisation, linear nu-SVR (CIBERSORT-style), and Tukey-biweight iteratively reweighted least squares (RPC-style); all four agreed within ~1 percentage point for the dominant lineages. Because the deposited beta matrix retains only 312,514 rows (~33% of EPIC v2 probes), each reference contributed only 66-641 informative probes after intersection. </w:t>
      </w:r>
      <w:r>
        <w:rPr>
          <w:b/>
        </w:rPr>
        <w:t>This restricted row coverage - not any probe-identifier mismatch - is the binding constraint</w:t>
      </w:r>
      <w:r>
        <w:t xml:space="preserve">, which is why five independent references were run rather than one. Fit was high throughout (mean R2 = 0.90-0.97; Pearson r = 0.95-0.98 between observed and mixture-predicted beta). Subtype-level fractions (e.g. CD4T naive vs memory, Treg) are </w:t>
      </w:r>
      <w:r>
        <w:rPr>
          <w:b/>
        </w:rPr>
        <w:t>not identifiable</w:t>
      </w:r>
      <w:r>
        <w:t xml:space="preserve"> owing to strong collinearity among lymphoid centroids; only lineage-level estimates (granulocyte/neutrophil, total lymphoid, monocyte) are interpreted. (iv) To test whether the pre-&gt;post immune methylation signal is independent of the estimated composition shift, each probe's paired delta-M (n = 65 subjects) was regressed on the subject-level change in estimated neutrophil fraction, and in a second model jointly on the changes in neutrophil, total-lymphoid and monocyte fractions; the intercept t-statistics from these models were then fed into the same immune-versus-background competitive test used for the unadjusted analysis. At the DMR level the same covariates were entered into the bumphunter design: because the model was fitted on per-subject paired M-value differences, subject effects cancel exactly, so the intercept estimates the composition-adjusted mean change without subject dummy variables; covariates were the per-subject change in estimated neutrophil fraction, and in a second model the neutrophil, eosinophil and basophil changes jointly (total-lymphoid and monocyte changes were not entered together with the neutrophil change because the closed composition makes them nearly dependent). DMRs were called with the same settings throughout (|coefficient| &gt;= 0.05, length &gt;= 3 probes, B = 0).</w:t>
      </w:r>
    </w:p>
    <w:p>
      <w:r>
        <w:t xml:space="preserve">Differentially methylated regions were called with bumphunter using </w:t>
      </w:r>
      <w:r>
        <w:rPr>
          <w:b/>
        </w:rPr>
        <w:t>B = 0 (no bootstrap permutation)</w:t>
      </w:r>
      <w:r>
        <w:t xml:space="preserve">, so DMR counts are descriptive and carry no empirical FDR control; they are reported as hypothesis-generating regional context only. Paired neutrophil estimates are taken from `analysis/layerA_deconv_summary.csv` (rows where celltype = aNeu/Neutro and config = centCAB100i_a12), with per-sample fractions in `analysis/layerA_cell_proportions_python.csv`. (The file `analysis/results/GSE330869/layerA_cell_proportions.csv` is a degenerate centBloodSub NNLS output — Neu/CD4T collapsed to 0 — and is </w:t>
      </w:r>
      <w:r>
        <w:rPr>
          <w:b/>
        </w:rPr>
        <w:t>not</w:t>
      </w:r>
      <w:r>
        <w:t xml:space="preserve"> the source of the reported neutrophil Δ, which is reproduced from `layerA_deconv_summary.csv`.) Immune-gene overlap of each DMR was mapped probe-to-gene using the IlluminaHumanMethylationEPICv2anno.20a1.hg38 annotation (hg38 build) and the 83-gene Set-2 immune list (`analysis/signatures/immune_genes.txt`); per-DMR overlap tables are committed as `bumphunter_DMR_{unadjusted,adj_dNeu,adj_dNeu_Eos_Baso}_immune_overlap.csv` (R script `analysis/layerA_dmr_immune_overlap_provenance.R`, `set.seed(12345)`), providing traceable counts of </w:t>
      </w:r>
      <w:r>
        <w:rPr>
          <w:b/>
        </w:rPr>
        <w:t>79 / 24 / 36 immune-overlapping DMRs</w:t>
      </w:r>
      <w:r>
        <w:t xml:space="preserve"> (each DMR overlaps exactly one immune gene, so distinct immune genes in these files are also 79/24/36). The stricter Set-2 probe→gene mapping in `bumphunter_adjusted_summary.csv` reports </w:t>
      </w:r>
      <w:r>
        <w:rPr>
          <w:b/>
        </w:rPr>
        <w:t>48 / 21 / 29 hit immune genes</w:t>
      </w:r>
      <w:r>
        <w:t>; a broader probe→gene annotation in `layerA_DMR_immune_gene_counts.csv` gives 75 — the 48/75/79 spread reflects different mapping rules, not a numerical error, and only 48/21/29 are reported in the Results.</w:t>
      </w:r>
    </w:p>
    <w:p>
      <w:pPr>
        <w:pStyle w:val="Heading2"/>
      </w:pPr>
      <w:r>
        <w:t>Transcriptomic immune gene-set enrichment (Layer B)</w:t>
      </w:r>
    </w:p>
    <w:p>
      <w:r>
        <w:t>### Transcriptomic immune gene-set enrichment (Layer B)</w:t>
      </w:r>
    </w:p>
    <w:p>
      <w:r>
        <w:t xml:space="preserve">Raw GSE163943 was processed with limma empirical Bayes moderation (44,824 probes tested; 4,146 at nominal p &lt; 0.05 without fold-change cutoff; n_up = 737, n_down = 996 at nominal p &lt; 0.05 </w:t>
      </w:r>
      <w:r>
        <w:rPr>
          <w:b/>
        </w:rPr>
        <w:t>and</w:t>
      </w:r>
      <w:r>
        <w:t xml:space="preserve"> |log2FC| ≥ 0.585 (1.5-fold); 0 at FDR &lt; 0.05, reflecting the n = 8 sample size). To test whether immune genes were *directionally* shifted, we defined an immune gene set (n = 83 genes present on the array) and compared the distribution of moderated t-statistics of immune genes versus the 44,741 background genes with a two-sided Mann–Whitney U test. An unweighted one-sample t-test on immune-gene t-values tested mean non-zero shift; this is conservative when per-gene variances are heterogeneous (as is the case here, n = 4 v 4), so the resulting p-value is not a bound on the directional effect size and should not be read as a lower limit on the signal. The 48 up- and 35 down-regulated immune genes (nominal p &lt; 0.05 and |log2FC| ≥ 0.585; 47/34 after gene-symbol reconciliation) were carried forward as the immune-restricted disease signature for LINCS; only the subset of these genes with non-empty LINCS L1000 consensus signatures enters the overlap enrichment, so the effective screenable signature is materially smaller than the 83-gene input set.</w:t>
      </w:r>
    </w:p>
    <w:p>
      <w:pPr>
        <w:pStyle w:val="Heading2"/>
      </w:pPr>
      <w:r>
        <w:t>Single-cell PBMC localisation (Layer C)</w:t>
      </w:r>
    </w:p>
    <w:p>
      <w:r>
        <w:t>### Single-cell PBMC localisation (Layer C)</w:t>
      </w:r>
    </w:p>
    <w:p>
      <w:r>
        <w:t xml:space="preserve">Seven usable 10x libraries from GSE252572 were filtered (QC), log-normalised (CPM + log1p), passed to highly-variable-gene selection, SVD, and K-means (k = 12). </w:t>
      </w:r>
      <w:r>
        <w:rPr>
          <w:b/>
        </w:rPr>
        <w:t>Crucially, clustering was performed on the pooled 52,912-cell matrix, not per-sample</w:t>
      </w:r>
      <w:r>
        <w:t>, so that cluster identities are comparable across samples (a per-sample clustering error was detected and corrected during analysis). Clusters were annotated by classic marker scoring. Cell-type proportions were compared across POD status at the *sample* level (Mann–Whitney U) to avoid pseudoreplication.</w:t>
      </w:r>
    </w:p>
    <w:p>
      <w:pPr>
        <w:pStyle w:val="Heading2"/>
      </w:pPr>
      <w:r>
        <w:t>In-silico drug repositioning (Layer D)</w:t>
      </w:r>
    </w:p>
    <w:p>
      <w:r>
        <w:t>### In-silico drug repositioning (Layer D)</w:t>
      </w:r>
    </w:p>
    <w:p>
      <w:r>
        <w:t xml:space="preserve">Drug and CRISPR-knockout perturbation signatures were the LINCS L1000 consensus gene sets [8,9,32] distributed as Enrichr libraries (chemical up/down, ligand up/down, CRISPR-KO consensus, GEO-based). Disease signature DisUp (up in POD) and DisDown (down in POD). Reversal of a perturbation = its down-set enriched for DisUp </w:t>
      </w:r>
      <w:r>
        <w:rPr>
          <w:b/>
        </w:rPr>
        <w:t>and/or</w:t>
      </w:r>
      <w:r>
        <w:t xml:space="preserve"> its up-set enriched for DisDown. Strength was scored by Fisher-exact overlap (one-sided, greater) against the LINCS gene universe, combined by Fisher's method (χ², 4 df), with Benjamini–Hochberg FDR across all signatures. An empirical size-matched null (3,000 permutations) yielded z-scores and empirical p-values.</w:t>
      </w:r>
    </w:p>
    <w:p>
      <w:r>
        <w:rPr>
          <w:b/>
        </w:rPr>
        <w:t>Chemical arm.</w:t>
      </w:r>
      <w:r>
        <w:t xml:space="preserve"> Perturbagens = small molecules (the Enrichr *chemical* library, n = 1,069) </w:t>
      </w:r>
      <w:r>
        <w:rPr>
          <w:b/>
        </w:rPr>
        <w:t>and</w:t>
      </w:r>
      <w:r>
        <w:t xml:space="preserve"> cytokine *ligand* perturbations (the Enrichr *ligand* library, n = 96). These two sub-libraries are analysed separately below and must not be conflated: the term "drug-level FDR hits" refers to whichever sub-library is named, and the small-molecule chemical arm and the cytokine ligand arm have distinct hit counts.</w:t>
      </w:r>
    </w:p>
    <w:p>
      <w:r>
        <w:rPr>
          <w:b/>
        </w:rPr>
        <w:t>Virtual-knockout arm.</w:t>
      </w:r>
      <w:r>
        <w:t xml:space="preserve"> CRISPR-KO consensus terms are "GENE Up" / "GENE Down" (~240 genes each). Knockout of a driver gene should reverse the disease signature exactly like a therapeutic perturbation; we therefore scored each gene's KO exactly as a chemical perturbation.</w:t>
      </w:r>
    </w:p>
    <w:p>
      <w:r>
        <w:rPr>
          <w:b/>
        </w:rPr>
        <w:t>A-priori (pre-specified) positive controls.</w:t>
      </w:r>
      <w:r>
        <w:t xml:space="preserve"> Glucocorticoids and immunosuppressants (dexamethasone, hydrocortisone, prednisolone, budesonide, cyclosporine, sirolimus, tacrolimus, statins, NSAIDs, …) must pass the class-level permutation test (p &lt; 0.05) and/or rank individual drugs in the top percentile; if neither, the screen is reported as failed. (The pre-specified top-percentile single-drug criterion was met on the whole-transcriptome arm but not on the immune-restricted arm, where the class-level criterion was met instead — see Results.) For the KO arm, knockouts of known pro-inflammatory drivers (NFKB1, RELA, STAT3, IL1RAP, NFKBIZ, IL6, …) were the positive-control class.</w:t>
      </w:r>
    </w:p>
    <w:p>
      <w:pPr>
        <w:pStyle w:val="Heading2"/>
      </w:pPr>
      <w:r>
        <w:t>Genetic context and consistency check (Layer F)</w:t>
      </w:r>
    </w:p>
    <w:p>
      <w:r>
        <w:t>### Genetic context and consistency check (Layer F)</w:t>
      </w:r>
    </w:p>
    <w:p>
      <w:r>
        <w:t xml:space="preserve">The POD GWAS (12,353,257 variants; genomic-control λ = 1.0133) was scanned for the APOE ε4-defining alleles. The ε4 isoform is jointly defined by rs429358-C and rs7412-C; rs429358-C is a near-perfect tag for the ε4 haplotype in European-ancestry UKB data (ε4 requires rs429358-C with rs7412-C; rs7412 is not in the released top-loci and was not independently verified here) and was used here as the lead variant. Because the POD GWAS is monolithic on chromosome 19 (37 genome-wide-significant SNPs, all APOE block), </w:t>
      </w:r>
      <w:r>
        <w:rPr>
          <w:b/>
        </w:rPr>
        <w:t>no immune-trait→POD Mendelian randomization and no immune PRS are feasible</w:t>
      </w:r>
      <w:r>
        <w:t xml:space="preserve"> — POD instruments exist only at APOE, and no immune gene reaches genome-wide significance. This layer is therefore an association and gene-set analysis, not an MR, and provides no causal evidence for either axis; it is reported as a consistency check, not as confirmation. We then tested the immune-gene set with a stratified permutation (5,000 permutations, matched on SNP count per gene to control gene-length confounding); gene density (SNP/kb, a proxy for mappability and GC content) was not separately controlled, so immune genes in unusually dense or sparse regions may retain residual confounding. The permutation was computed both genome-wide and after excluding chromosome 19 (which carries APOE and its LD neighbours).</w:t>
      </w:r>
    </w:p>
    <w:p>
      <w:pPr>
        <w:pStyle w:val="Heading2"/>
      </w:pPr>
      <w:r>
        <w:t>Docking audit (Layer E)</w:t>
      </w:r>
    </w:p>
    <w:p>
      <w:r>
        <w:t>### Docking audit (Layer E)</w:t>
      </w:r>
    </w:p>
    <w:p>
      <w:r>
        <w:t>Each anchor protein was queried against the PDB for experimentally determined structures; genes without an experimental structure were flagged as requiring an AlphaFold model or exclusion from docking.</w:t>
      </w:r>
    </w:p>
    <w:p>
      <w:pPr>
        <w:pStyle w:val="Heading2"/>
      </w:pPr>
      <w:r>
        <w:t>A-priori specification and honesty posture</w:t>
      </w:r>
    </w:p>
    <w:p>
      <w:r>
        <w:t>### A-priori specification and honesty posture</w:t>
      </w:r>
    </w:p>
    <w:p>
      <w:r>
        <w:t>Primary hypotheses and the positive-control success criterion were fixed before unblinding results. The originally planned "hub-gene → POD Mendelian randomization" was specified a priori as expected-null given APOE-driven GWAS architecture and was not pursued as a positive claim. All null and negative results are reported.</w:t>
      </w:r>
    </w:p>
    <w:p>
      <w:pPr>
        <w:pStyle w:val="Heading2"/>
      </w:pPr>
      <w:r>
        <w:t>Reporting checklists</w:t>
      </w:r>
    </w:p>
    <w:p>
      <w:r>
        <w:t>### Reporting checklists</w:t>
      </w:r>
    </w:p>
    <w:p>
      <w:r>
        <w:t>ARRIVE (animal research) does not apply (no new animal experiments). STROBE and STROBE-MR do not apply (no new observational cohort or Mendelian randomization with individual-level data). This multi-omics integration of public data follows the principles of the Multi-Omics Reporting Guideline (MRE-MoSTre) where applicable, and the LINCS L1000 repositioning follows the Subramanian 2017 CMap reporting convention (overlap-enrichment of consensus signatures, with pre-specified positive controls and a size-matched empirical null). All quantitative claims are traceable to analysis artefacts under `pod-epigenetic-immune-repositioning/analysis/results/`.</w:t>
      </w:r>
    </w:p>
    <w:p>
      <w:pPr>
        <w:pStyle w:val="Heading2"/>
      </w:pPr>
      <w:r>
        <w:t>Use of artificial intelligence</w:t>
      </w:r>
    </w:p>
    <w:p>
      <w:r>
        <w:t>### Use of artificial intelligence</w:t>
      </w:r>
    </w:p>
    <w:p>
      <w:r>
        <w:t>A generative-AI large-language-model research assistant was used to support language polishing, literature organisation, and drafting of this manuscript. All computational analyses, statistical tests, and interpretations were designed, executed, and verified by the author (Y.Y.); no AI tool generated primary data or performed autonomous inferential statistics, and the author takes full responsibility for the content.</w:t>
      </w:r>
    </w:p>
    <w:p>
      <w:r>
        <w:t>---</w:t>
      </w:r>
    </w:p>
    <w:p>
      <w:pPr>
        <w:pStyle w:val="Heading1"/>
      </w:pPr>
      <w:r>
        <w:t>Results</w:t>
      </w:r>
    </w:p>
    <w:p>
      <w:r>
        <w:t>## Results</w:t>
      </w:r>
    </w:p>
    <w:p>
      <w:pPr>
        <w:pStyle w:val="Heading2"/>
      </w:pPr>
      <w:r>
        <w:t>Immune gene expression is directionally elevated in POD blood (Layer B)</w:t>
      </w:r>
    </w:p>
    <w:p>
      <w:r>
        <w:t>### Immune gene expression is directionally elevated in POD blood (Layer B)</w:t>
      </w:r>
    </w:p>
    <w:p>
      <w:r>
        <w:t xml:space="preserve">Across 83 annotated immune genes on the GSE163943 array, moderated t-statistics were shifted toward upregulation relative to the 44,741 background genes (mean t = 0.253 versus −0.171; Mann–Whitney U p = </w:t>
      </w:r>
      <w:r>
        <w:rPr>
          <w:b/>
        </w:rPr>
        <w:t>0.0079</w:t>
      </w:r>
      <w:r>
        <w:t>), while an unweighted one-sample test for mean non-zero shift was non-significant (p = 0.18); the mean per-gene shift is small relative to heterogeneous per-gene variances at n = 4 v 4, so the signal is broad and directional rather than driven by a few large per-gene effects, At nominal p &lt; 0.05, 737 transcripts were up- and 996 down-regulated (0 at FDR &lt; 0.05, as expected for n = 8). The 48 up- and 35 down-regulated immune genes defined the immune-restricted signature carried into LINCS.</w:t>
      </w:r>
    </w:p>
    <w:p>
      <w:pPr>
        <w:pStyle w:val="Heading2"/>
      </w:pPr>
      <w:r>
        <w:t>No cell-type proportion shift in PBMC, and methylation anchors are absent from blood (Layer C)</w:t>
      </w:r>
    </w:p>
    <w:p>
      <w:r>
        <w:t>### No cell-type proportion shift in PBMC, and methylation anchors are absent from blood (Layer C)</w:t>
      </w:r>
    </w:p>
    <w:p>
      <w:r>
        <w:t>Global clustering of 52,912 PBMC cells yielded 12 stable clusters. Cell-type proportions did not differ by POD status at the sample level; at the patient level (2 vs 2) the minimum achievable one-sided Mann–Whitney p is exactly 1/6 ≈ 0.167 (the library-level 4-vs-3 floor is 1/35 ≈ 0.029, while the observed most-extreme p is 0.23), so this proportion test is descriptive and the p-value is read as a floor, not biological evidence of no shift; e.g. monocyte 6.6% POD vs 18.2% control, NK 40.4% vs 23.0%). Within-subject pre/post variability (e.g. monocyte 25.0% → 8.1%) exceeded between-group differences, so Layer C is treated as descriptive localisation only.</w:t>
      </w:r>
    </w:p>
    <w:p>
      <w:r>
        <w:t xml:space="preserve">A finding with interpretive weight: the methylation anchors </w:t>
      </w:r>
      <w:r>
        <w:rPr>
          <w:b/>
        </w:rPr>
        <w:t>TMIGD3</w:t>
      </w:r>
      <w:r>
        <w:t xml:space="preserve"> (mean expression 0–0.0023) and </w:t>
      </w:r>
      <w:r>
        <w:rPr>
          <w:b/>
        </w:rPr>
        <w:t>ADORA3</w:t>
      </w:r>
      <w:r>
        <w:t xml:space="preserve"> (0.0002–0.0015) are essentially unexpressed in PBMC, whereas CD63 (0.46–0.71) and STAT3 (0.53–0.68) are robustly expressed. Peripheral blood is therefore not the tissue in which to validate these epigenetic loci—consistent with the two-axis view that the constitutive (methylation/APOE) axis is not simply read out in circulating immune cells. </w:t>
      </w:r>
      <w:r>
        <w:rPr>
          <w:b/>
        </w:rPr>
        <w:t>This null is not in conflict with the composition shift detected by deconvolution of the whole-blood methylome (below):</w:t>
      </w:r>
      <w:r>
        <w:t xml:space="preserve"> Layer C assays PBMC, in which granulocytes are depleted by preparation, so a granulocyte/neutrophil shift is largely invisible to it, and it comprises 2 POD vs 2 non-POD patients (4 vs 3 usable libraries) versus 65 in Layer A, giving it far less power to detect any shift.</w:t>
      </w:r>
    </w:p>
    <w:p>
      <w:pPr>
        <w:pStyle w:val="Heading2"/>
      </w:pPr>
      <w:r>
        <w:t>Epigenetic pre→post immune shift within POD (Layer A)</w:t>
      </w:r>
    </w:p>
    <w:p>
      <w:r>
        <w:t>### Epigenetic pre→post immune shift within POD (Layer A)</w:t>
      </w:r>
    </w:p>
    <w:p>
      <w:r>
        <w:t xml:space="preserve">Recomputed in-house (n = 312,514 autosomal gene-mapped EPIC v2 probes; 65 paired POD cases), the within-POD pre→post methylome shift is small: only 6 DMPs survived FDR &lt; 0.05 and |Δβ| &gt; 0.05 (0 at |Δβ| &gt; 0.10; |Δβ| range 0.05–0.065), and none mapped to a curated immune gene (0/49 overlap; Fisher p = 1). Thus individual immune loci are not genome-wide significant in this paired-within-POD design. However, at the probe-set level the immune axis *is* directionally present: immune-gene probes showed a significant pre→post shift relative to background (two-sided MWU on limma moderated-t statistics, Set-1, 49-gene/737-probe set, unadjusted, p = 0.041; mean t = +0.064 immune vs −0.035 background); this is the unadjusted Set-1 test and has no composition-adjusted analogue using the same limma moderated-t definition (its only adjusted sibling is a different Set-2 OLS-on-delta test, null at 0.296/0.098/0.141; see companion table below), and it is reported as hypothesis-generating and not yet composition-validated (see Limitations and §Composition-adjustment below); it is directionally consistent with Seki 2026's NF-κB/leukocyte pathway finding (Seki used a Time×Group model with non-delirium controls; our within-POD design has no controls and is therefore not a strict replication). The immune-methylation profile was individually stable across surgery (WMA cross-validated R² = 0.79, a within-subject retest descriptor of profile stability rather than evidence of axis stability); the small state-dependent shift is superimposed on a largely constitutive immune-methylation baseline. (Note: the immune-probe count n = 737 here is a coincidence with the Layer B n_up = 737 transcript count; the two numbers refer to unrelated objects—methylation probes versus transcriptome probes.) At the regional level, </w:t>
      </w:r>
      <w:r>
        <w:rPr>
          <w:b/>
        </w:rPr>
        <w:t>bumphunter</w:t>
      </w:r>
      <w:r>
        <w:t xml:space="preserve"> (run with B = 0, no permutation; descriptive counts without empirical FDR, see Methods) called </w:t>
      </w:r>
      <w:r>
        <w:rPr>
          <w:b/>
        </w:rPr>
        <w:t>13,357 DMRs (descriptive, B = 0)</w:t>
      </w:r>
      <w:r>
        <w:t xml:space="preserve"> (|ΔM| ≥ 0.05 on the M-value scale and length ≥ 3 probes) across the 65 paired POD cases; of these, 79 overlapped an immune gene unadjusted, falling to 24 (neutrophil-adjusted) and 36 (neutrophil + eosinophil + basophil-adjusted), with 48, 21 and 29 immune genes hit respectively (per-DMR gene lists committed as `bumphunter_DMR_{unadjusted,adj_dNeu,adj_dNeu_Eos_Baso}_immune_overlap.csv`; of the 48 immune genes hit unadjusted, 14 remained hit after neutrophil adjustment, per `bumphunter_immune_gene_before_after.csv`). The broader 73,825 candidate regions were near-balanced (37,339 hyper- vs 36,486 hypo-methylated), whereas the stricter 13,357 DMRs were hypo-methylation dominated (4,994 vs 8,363), again arguing against a uniform global hyper-methylation sweep. Mapping these strict DMR intervals to gene bodies showed </w:t>
      </w:r>
      <w:r>
        <w:rPr>
          <w:b/>
        </w:rPr>
        <w:t>79 DMRs (0.59%) overlapping at least one of the 83 curated immune genes, hitting 48/83 immune genes (4 of the 83 immune-set members had no mapped probes, so the effective denominator is 79)</w:t>
      </w:r>
      <w:r>
        <w:t xml:space="preserve">; the most frequently hit were IL6R (4 DMRs), TNF (4), CX3CR1 (3), IRF8 (3), S100A8 (3) and TNFAIP3 (3) - again the TNF / NF-kappaB / IL-1 axis. (On the broader candidate-region set *before* the length filter, 305/73,825 regions (0.41%) and 75/83 genes overlapped, with TNFAIP3 the most hit at 12; we report the length-filtered set here because that is the DMR definition used throughout.) We then re-ran bumphunter with the estimated per-subject change in cell fractions entered as covariates (Methods (iv)). Entering the estimated neutrophil change alone cut the DMR burden from 13,357 to 5,153 (-61%) and the immune-overlapping DMRs from 79 to 24 (-70%), leaving 21/83 immune genes hit and only 14 of the original 48 genes still represented; additionally adjusting for eosinophil and basophil changes gave an intermediate result (7,263 DMRs; 36 immune-overlapping). The *proportion* of immune-overlapping DMRs did not rise after adjustment (0.47-0.50% versus 0.59% unadjusted). The regional immune signal is therefore largely - though not entirely - attributable to the post-operative leucocyte composition shift; because bumphunter ran at B = 0, the 46–61% reduction is a descriptive proportion and not an inferential attribution. (Because bumphunter ran without permutation, these DMR counts are descriptive, not FDR-controlled.) It is important to state what this analysis does *not* show. It does not show that Layer A is uninformative: the composition shift itself (neutrophils +3.4 pp, p = 7.6 × 10⁻⁴, consistent across five references) is a positive, reproducible finding, and the methylation change that accompanies it is real (13,357 DMRs; directional immune shift p = 0.041). What it shows is that these two are largely the same phenomenon rather than two independent ones. Read this way, the methylation layer is still consistent with the two-axis hypothesis, but with a material qualification: what surgery triggers here is largely a </w:t>
      </w:r>
      <w:r>
        <w:rPr>
          <w:b/>
        </w:rPr>
        <w:t>leucocyte-composition shift together with its accompanying methylation change</w:t>
      </w:r>
      <w:r>
        <w:t>, over and above which lies only a modest residual component that composition adjustment does not remove. Neither component is constitutive, and both remain dissociable from the APOE ε4 susceptibility axis; we therefore do not claim that Layer A demonstrates cell-intrinsic innate-immune epigenetic reprogramming.</w:t>
      </w:r>
    </w:p>
    <w:p>
      <w:r>
        <w:rPr>
          <w:b/>
        </w:rPr>
        <w:t>Figure 1. Within-POD pre→post blood methylome shift (GSE330869, Layer A).</w:t>
      </w:r>
      <w:r>
        <w:t xml:space="preserve"> </w:t>
      </w:r>
      <w:r>
        <w:rPr>
          <w:b/>
        </w:rPr>
        <w:t>(A)</w:t>
      </w:r>
      <w:r>
        <w:t xml:space="preserve"> Volcano plot of limma t-statistics (Post − Pre) versus −log10 P for 312,514 autosomal gene-mapped EPIC v2 probes; immune-gene probes (n = 737, red) are highlighted and the 6 DMPs (FDR &lt; 0.05, |Δβ| &gt; 0.05) are labelled. Dashed lines: |t| = 2 and nominal P = 0.05. </w:t>
      </w:r>
      <w:r>
        <w:rPr>
          <w:b/>
        </w:rPr>
        <w:t>(B)</w:t>
      </w:r>
      <w:r>
        <w:t xml:space="preserve"> Distribution of t-statistics for immune-gene probes versus all background probes; the immune set is shifted toward positive t (two-sided MWU p = 0.041), while the immune-methylation profile is individually stable across surgery (WMA cross-validated R² = 0.79, a within-subject retest descriptor). *Figure file supplied separately as layerA_figure.png (600 dpi) and layerA_figure.pdf (high-resolution); colour encoding is colorblind-safe.*</w:t>
      </w:r>
    </w:p>
    <w:p>
      <w:r>
        <w:rPr>
          <w:b/>
        </w:rPr>
        <w:t>Figure 2. Post-operative leucocyte shift and its impact on Layer A immune methylation (GSE330869).</w:t>
      </w:r>
      <w:r>
        <w:t xml:space="preserve"> </w:t>
      </w:r>
      <w:r>
        <w:rPr>
          <w:b/>
        </w:rPr>
        <w:t>(A)</w:t>
      </w:r>
      <w:r>
        <w:t xml:space="preserve"> Paired pre→post estimated lineage fractions in the 65 POD cases (reference centCAB100i, 641 informative probes, NNLS; lines connect medians). Neutrophils rise by a median +3.38 pp (primary estimate from CP_nnls_norm, Wilcoxon p = 7.6 × 10⁻⁴; the composition-adjustment pipeline uses CP_penalty_K1000 and gives +3.39 pp, p = 8.3 × 10⁻⁴, differing by &lt;0.01 pp), total lymphoid falls by −1.60 pp (p = 0.003) and monocytes by −1.11 pp (p = 1.2 × 10⁻⁴) — the canonical surgical stress leucocyte shift. </w:t>
      </w:r>
      <w:r>
        <w:rPr>
          <w:b/>
        </w:rPr>
        <w:t>(B)</w:t>
      </w:r>
      <w:r>
        <w:t xml:space="preserve"> The shift is directionally consistent across five independent references built on partly disjoint probe sets (points: mean over four solvers of the median paired delta; bars: solver range). </w:t>
      </w:r>
      <w:r>
        <w:rPr>
          <w:b/>
        </w:rPr>
        <w:t>(C)</w:t>
      </w:r>
      <w:r>
        <w:t xml:space="preserve"> Probe level: the immune-versus-background |t| enrichment observed unadjusted (median 0.968 vs 0.903; two-sided MWU p = 2.46 × 10⁻⁴) is abolished after regressing each probe's paired ΔM on the estimated neutrophil change (0.650 vs 0.656; p = 0.724) or on the three lineage changes (0.677 vs 0.657; p = 0.55). This |t|-based enrichment test is distinct from the signed-t directional test reported in the Results text (Set 1, p = 0.041). </w:t>
      </w:r>
      <w:r>
        <w:rPr>
          <w:b/>
        </w:rPr>
        <w:t>(D)</w:t>
      </w:r>
      <w:r>
        <w:t xml:space="preserve"> DMR level: entering the DMR-level covariate set (neutrophils + eosinophils + basophils, granulocyte-subtype covariates; </w:t>
      </w:r>
      <w:r>
        <w:rPr>
          <w:b/>
        </w:rPr>
        <w:t>not</w:t>
      </w:r>
      <w:r>
        <w:t xml:space="preserve"> the three-lineage Neu+Lymph+Mono covariate used at the probe level in panel C) into the bumphunter design reduces the DMR burden from 13,357 to 5,153 / 7,263 and immune-overlapping DMRs from 79 to 24 / 36, with the immune proportion falling from 0.59% to 0.47–0.50% (labels above the immune bars). bumphunter was run with B = 0, so DMR counts are descriptive. Both covariate sets (three-lineage Neu+Lymph+Mono and granulocyte-subtype Neu+Eos+Baso) were evaluated at both the probe and DMR levels; the directional conclusion (46–61% of DMRs removed by composition adjustment — a descriptive upper bound, not a confidence interval; the immune proportion is essentially unchanged, 0.59% → 0.47–0.50%, so the immune-specific conclusion rests on the probe-level |t| enrichment test) is unchanged across both covariate specifications, and four crossings. *Figure file supplied separately as layerA_figure2.png (600 dpi) and layerA_figure2.pdf (vector); colour encoding is colorblind-safe.*</w:t>
      </w:r>
    </w:p>
    <w:p>
      <w:pPr>
        <w:pStyle w:val="Heading2"/>
      </w:pPr>
      <w:r>
        <w:t>LINCS repositioning: chemical arm partially supportive, virtual-knockout arm hypothesis-generating (Layer D)</w:t>
      </w:r>
    </w:p>
    <w:p>
      <w:r>
        <w:t>### LINCS repositioning: chemical arm partially supportive, virtual-knockout arm hypothesis-generating (Layer D)</w:t>
      </w:r>
    </w:p>
    <w:p>
      <w:r>
        <w:rPr>
          <w:b/>
        </w:rPr>
        <w:t>Chemical arm.</w:t>
      </w:r>
      <w:r>
        <w:t xml:space="preserve"> Across 1,069 perturbagens, the pre-specified positive-control class test was marginal at the </w:t>
      </w:r>
      <w:r>
        <w:rPr>
          <w:b/>
        </w:rPr>
        <w:t>class level</w:t>
      </w:r>
      <w:r>
        <w:t xml:space="preserve"> on the immune-restricted signature: the glucocorticoid class ranked above the size-matched null (class mean 58.46% vs null 49.92 ± 4.87%, z_class = 1.75, one-sided class permutation p = 0.041, two-sided p = 0.081, which does not meet the a priori p &lt; 0.05 threshold). The whole-transcriptome arm was non-significant (class p = 0.056), so this is a directional, class-level signal rather than a definitive positive-control pass. The high per-drug percentiles (dexamethasone 95.1%, hydrocortisone valerate 92.0%, betamethasone acetate 90.9%, prednisolone hemisuccinate 87.2%) belong to the </w:t>
      </w:r>
      <w:r>
        <w:rPr>
          <w:b/>
        </w:rPr>
        <w:t>whole-transcriptome arm</w:t>
      </w:r>
      <w:r>
        <w:t xml:space="preserve">, not the immune-restricted arm; on the immune-restricted arm the same drugs' percentiles were dexamethasone acetate 76.6%, hydrocortisone 79.4%, betamethasone 27.4%, prednisolone 76.3%—so the class-level pass is not driven by top-percentile single-drug ranking but by the class as a whole. Two pre-specified positive-control classes—statins (immune-restricted perm p = 0.85; whole-transcriptome p = 0.80) and NSAIDs (p = 0.78; 0.93)—did </w:t>
      </w:r>
      <w:r>
        <w:rPr>
          <w:b/>
        </w:rPr>
        <w:t>not</w:t>
      </w:r>
      <w:r>
        <w:t xml:space="preserve"> reverse the signature; per our a priori rule these are *failed* positive controls and temper confidence in the screen's sensitivity, and we report the screen as hypothesis-generating, not as having fully passed its positive-control battery. On the immune-restricted signature, </w:t>
      </w:r>
      <w:r>
        <w:rPr>
          <w:b/>
        </w:rPr>
        <w:t>six IFNγ perturbations (across MCF7, MCF10A, HS578T, MDAMB231, BT20, SKBR3) all reversed the disease signature at FDR &lt; 0.05</w:t>
      </w:r>
      <w:r>
        <w:t xml:space="preserve">; the cited value FDR = 3.4 × 10⁻⁴ corresponds to ifng-mdamb231, which is the </w:t>
      </w:r>
      <w:r>
        <w:rPr>
          <w:b/>
        </w:rPr>
        <w:t>second-strongest</w:t>
      </w:r>
      <w:r>
        <w:t xml:space="preserve"> of the six (strongest: ifng-mcf7 FDR = 1.9 × 10⁻⁴; weakest: ifng-hs578t FDR = 2.5 × 10⁻²). Because the disease signature is interferon-stimulated-gene dominated (IFNG, CXCL10, IRF7, IRF1, STAT1 among the 48 input up-genes), this reversal is partly tautological across all six entries and is reported as hypothesis-generating rather than a directional mechanistic lead. </w:t>
      </w:r>
      <w:r>
        <w:rPr>
          <w:b/>
        </w:rPr>
        <w:t>At the drug level, 24 of 96 LINCS *ligand* (cytokine) perturbations survived BH-FDR &lt; 0.05 in the immune-restricted arm, whereas 0 of 1,069 small-molecule *chemical* perturbagens did so in either arm and 0 ligand perturbations did so in the whole-transcriptome arm</w:t>
      </w:r>
      <w:r>
        <w:t xml:space="preserve"> (this drug-level FDR is BH-adjusted over an empirical permutation p computed </w:t>
      </w:r>
      <w:r>
        <w:rPr>
          <w:b/>
        </w:rPr>
        <w:t>one-tailed in the reversal direction</w:t>
      </w:r>
      <w:r>
        <w:t xml:space="preserve"> on each perturbagen's most-negative mean connectivity score; it is therefore a *reversal-only* FDR and is not the same quantity as the signed `net_score` / rank-percentile used for the class-level tests above, which carries no FDR); of the 24 ligand hits, 11 are net signature *reversals* (six IFNγ, three IFNA, plus IL4 and GAS6) and 13 are disease *mimics* (six TNFα, six IL1β, one IFNα), so the actionable, non-tautological signal is confined to the interferon family plus IL4/GAS6 and there is no oral small-molecule chemical candidate. Overlap sizes are small, so the screen is framed as hypothesis-generating, not confirmatory. The chemical (small-molecule) arm showed no drug-level FDR hits; its only positive signal was the marginal glucocorticoid *class* test above. The ligand hits are dominated by interferon/cytokine perturbations and are reported as hypothesis-generating given the ISG composition of the disease signature.</w:t>
      </w:r>
    </w:p>
    <w:p>
      <w:r>
        <w:rPr>
          <w:b/>
        </w:rPr>
        <w:t>Virtual-knockout arm.</w:t>
      </w:r>
      <w:r>
        <w:t xml:space="preserve"> On the immune-restricted signature, the top genes by BH-adjusted FDR (BH-FDR, not nominal p) were nupl2 (FDR = 5.8 × 10⁻⁸), hla-dpa1 (2.2 × 10⁻⁷), itgb4 (4.2 × 10⁻⁷), pde4a (4.2 × 10⁻⁶), emb (4.2 × 10⁻⁶), plk5 (4.2 × 10⁻⁶), and il4r (4.2 × 10⁻⁶); of these, hla-dpa1/pde4a/il4r are immune-plausible, while nupl2/itgb4/emb/plk5 are non-immune and may reflect LINCS cell-line transcriptional responses rather than immune biology. </w:t>
      </w:r>
      <w:r>
        <w:rPr>
          <w:b/>
        </w:rPr>
        <w:t>These hits derive from the Enrichr consensus CRISPR-KO library, in which each gene is represented by a single cell-line-aggregated consensus signature (per `layerD_immune_summary.json` → `libraries.crispr_ko` the library contains n_signatures = 5,212 and n_genes = 5,210, i.e. essentially one consensus signature per gene with no per-cell-line replication structure, so n_cell_lines is structurally 1, not a measured replication)</w:t>
      </w:r>
      <w:r>
        <w:t xml:space="preserve">; there is no within-cell-line replication structure to filter on, so all KO hits are hypothesis-generating only. </w:t>
      </w:r>
      <w:r>
        <w:rPr>
          <w:b/>
        </w:rPr>
        <w:t>At the gene level, 1,109 KO terms survived BH-FDR &lt; 0.05 in the immune-restricted arm (vs 0 in the whole-transcriptome arm)</w:t>
      </w:r>
      <w:r>
        <w:t xml:space="preserve">; given that the disease signature is only ~40 up- and ~33 down-genes, this 1,109-vs-0 asymmetry suggests BH-FDR is over-liberal on tiny-overlap Fisher tests for the KO arm, and all KO hits should be read as hypothesis-generating pending orthogonal validation. The KO positive-control class test on the immune-restricted signature was directionally correct but not significant (z = +0.43, p = 0.34; note `n_controls_found` = 18 whereas the committed `controls` array lists 12 genes — the 18 counts every matched gene including aliases/multi-mapping, while the printed 12 are the unique named controls actually scored; the test uses the 12). </w:t>
      </w:r>
      <w:r>
        <w:rPr>
          <w:b/>
        </w:rPr>
        <w:t>On the whole-transcriptome signature the KO positive-control class test ranked at the bottom (z = −2.47)</w:t>
      </w:r>
      <w:r>
        <w:t xml:space="preserve">: the permutation null was computed one-tailed (upper tail only) as pre-specified, giving p = 0.9934 (non-significant for the pre-specified upper-tail hypothesis that KO controls rank at the top); the post-hoc lower-tail P(null ≤ obs) ≈ 0.0066 (two-sided ≈ 0.013) was computed by hand from the permutation distribution, not by the script; this post-hoc lower-tail p is exploratory, not pre-specified, and must not be read as a confirmatory finding. The significant two-sided p ≈ 0.013 is in the *wrong* direction (mimicry), i.e. a failed positive control, not a positive result. The KO class also contains the four anchor genes (adora3, cd63, ltf, col18a1), so this z is partly circular (see Limitations). This means the KO signature of known pro-inflammatory drivers </w:t>
      </w:r>
      <w:r>
        <w:rPr>
          <w:b/>
        </w:rPr>
        <w:t>mimics</w:t>
      </w:r>
      <w:r>
        <w:t xml:space="preserve"> the whole-transcriptome disease signature (same direction), i.e. the pre-specified positive-control direction (reversal) </w:t>
      </w:r>
      <w:r>
        <w:rPr>
          <w:b/>
        </w:rPr>
        <w:t>failed</w:t>
      </w:r>
      <w:r>
        <w:t xml:space="preserve"> on the whole-transcriptome arm. We report this as a failed positive control, not as evidence supporting the two-axis hypothesis; the post-hoc reading that the whole-transcriptome signature is not reconstructable by pure immune-TF knockouts is consistent with the two-axis architecture but is an exploratory re-framing of a null, not a confirmatory result. We report the virtual-knockout arm as exploratory and do not claim validation from it.</w:t>
      </w:r>
    </w:p>
    <w:p>
      <w:pPr>
        <w:pStyle w:val="Heading2"/>
      </w:pPr>
      <w:r>
        <w:t>POD GWAS is an APOE ε4 story; the immune gene set is null off chromosome 19 (Layer F)</w:t>
      </w:r>
    </w:p>
    <w:p>
      <w:r>
        <w:t>### POD GWAS is an APOE ε4 story; the immune gene set is null off chromosome 19 (Layer F)</w:t>
      </w:r>
    </w:p>
    <w:p>
      <w:r>
        <w:t xml:space="preserve">The released Armstrong summary contained </w:t>
      </w:r>
      <w:r>
        <w:rPr>
          <w:b/>
        </w:rPr>
        <w:t>37 SNPs at P &lt; 5×10⁻⁸, all on chromosome 19 within the APOE/TOMM40/APOC1/PVRL2 block</w:t>
      </w:r>
      <w:r>
        <w:t xml:space="preserve"> (this file, `layerF_gwas_top_loci.csv`); Armstrong reported </w:t>
      </w:r>
      <w:r>
        <w:rPr>
          <w:b/>
        </w:rPr>
        <w:t>7 conditionally-independent lead SNPs</w:t>
      </w:r>
      <w:r>
        <w:t xml:space="preserve"> within this block. We did not re-derive conditional independence and treat all 37 as a single APOE-region signal. The lead variant rs429358 (allele0 = C, the APOE ε4-defining allele; allele1 = T, ε3; ε4 frequency = 1 − 0.846 = 0.154) carried </w:t>
      </w:r>
      <w:r>
        <w:rPr>
          <w:b/>
        </w:rPr>
        <w:t>BETA = −0.621 (SE 0.051, P = 1.4 × 10⁻²⁹) in the released file, where BETA is the effect of the T (ε3) allele</w:t>
      </w:r>
      <w:r>
        <w:t xml:space="preserve">; the C (ε4) allele therefore has log-OR = +0.621, </w:t>
      </w:r>
      <w:r>
        <w:rPr>
          <w:b/>
        </w:rPr>
        <w:t>OR = exp(0.621) = 1.86 per ε4 allele</w:t>
      </w:r>
      <w:r>
        <w:t xml:space="preserve"> (additive; 1,016 cases / 139,148 nominal controls; effective genotype-QC'd N = 134,310 per SNP). Armstrong et al. report isoform-level ORs of </w:t>
      </w:r>
      <w:r>
        <w:rPr>
          <w:b/>
        </w:rPr>
        <w:t>1.75 per ε4 copy and 4.19 for two copies</w:t>
      </w:r>
      <w:r>
        <w:t xml:space="preserve"> (Armstrong et al., *PLOS Medicine* 2026); the per-allele OR from the summary BETA (1.86) and Armstrong's heterozygote (one-ε4-copy) isoform OR (1.75) differ slightly because the latter is a genotype-specific estimate, not the additive per-allele scale—both indicate a strong, consistent ε4 effect. Across all autosomes, the immune-gene set was borderline enriched (stratified permutation p = 0.081, z = 1.26, mean 2.118 vs background 2.066), driven entirely by chr19-adjacent immune genes (RELB ~0.37 Mb from APOE, IRF3 ~4.2 Mb from APOE, plus BCL3 and TICAM1), and the stratification did not separately control SNP density (a proxy for mappability/GC content), so residual gene-density confounding cannot be excluded for these loci. After excluding chromosome 19, the immune-gene set showed no enrichment (stratified permutation p = 0.277; 0 immune genes reached genome-wide significance). Beyond APOE, the released file shows 29 suggestive (p &lt; 1×10⁻⁵) non-chr19 loci (e.g., NEGR1, ZBTB40), none in the immune set and none replicated; given λ ≈ 1.01 these are consistent with chance tail noise and are not interpreted as a second axis. The off-chr19 null is </w:t>
      </w:r>
      <w:r>
        <w:rPr>
          <w:b/>
        </w:rPr>
        <w:t>expected rather than informative</w:t>
      </w:r>
      <w:r>
        <w:t>: a GWAS captures germline variant–disease association, not downstream transcriptional mediation, so off-chr19 null cannot discriminate "immune downstream of APOE ε4" from "immune independent axis". The per-gene ranked table is not reported because the stratified permutation yields only set-level statistics; RELB and IRF3 are chr19-adjacent to APOE and their signal reflects LD proximity, not independent immune signal.</w:t>
      </w:r>
    </w:p>
    <w:p>
      <w:r>
        <w:t>This is the genetic cornerstone of the two-axis hypothesis: the *constitutive* susceptibility axis is APOE ε4, and the *state-dependent* peripheral immune axis is genetically consistent with, but not established by, the GWAS—the genetic data are agnostic on whether it is independent of APOE ε4.</w:t>
      </w:r>
    </w:p>
    <w:p>
      <w:pPr>
        <w:pStyle w:val="Heading2"/>
      </w:pPr>
      <w:r>
        <w:t>Docking feasibility of anchor proteins (Layer E)</w:t>
      </w:r>
    </w:p>
    <w:p>
      <w:r>
        <w:t>### Docking feasibility of anchor proteins (Layer E)</w:t>
      </w:r>
    </w:p>
    <w:p>
      <w:r>
        <w:t xml:space="preserve">Of the seven proteins taken forward for docking, four are published POD methylation anchors from Seki 2026: TMIGD3 and ADORA3 (shared cg01534316 locus) and SPATA13 and COL13A1 (both suggestive FDR ≈ 0.075). Of these, </w:t>
      </w:r>
      <w:r>
        <w:rPr>
          <w:b/>
        </w:rPr>
        <w:t>ADORA3</w:t>
      </w:r>
      <w:r>
        <w:t xml:space="preserve"> (5 PDB entries: 8X16, 8X17, 9EBH, 9EBI, 9EHS) has an experimentally determined structure and is dockable. </w:t>
      </w:r>
      <w:r>
        <w:rPr>
          <w:b/>
        </w:rPr>
        <w:t>COL18A1</w:t>
      </w:r>
      <w:r>
        <w:t xml:space="preserve"> (9: 1BNL, 3HON, 3HSH, 9BNB, 9BNC, 9BND, 9BNE, 9BNF, 9BNG), </w:t>
      </w:r>
      <w:r>
        <w:rPr>
          <w:b/>
        </w:rPr>
        <w:t>CD63</w:t>
      </w:r>
      <w:r>
        <w:t xml:space="preserve"> (2: 9HQ5, 9HUR) and </w:t>
      </w:r>
      <w:r>
        <w:rPr>
          <w:b/>
        </w:rPr>
        <w:t>LTF</w:t>
      </w:r>
      <w:r>
        <w:t xml:space="preserve"> (10: 1B0L, 1BKA, 1CB6, 1DSN, 1EH3, 1FCK, 1H43, 1H44, 1H45, 1HSE) also have experimentally determined structures and are dockable, but these three are *candidate* targets drawn from the LINCS CRISPR-KO positive-control set and are </w:t>
      </w:r>
      <w:r>
        <w:rPr>
          <w:b/>
        </w:rPr>
        <w:t>not</w:t>
      </w:r>
      <w:r>
        <w:t xml:space="preserve"> independent published POD methylation loci; they are carried forward only for structural-feasibility auditing and are flagged for circularity in the Discussion. TMIGD3, COL13A1 and SPATA13 have no experimental structure and would require AlphaFold models [14]; we report this as a limitation rather than attempting unreliable docking.</w:t>
      </w:r>
    </w:p>
    <w:p>
      <w:r>
        <w:t>---</w:t>
      </w:r>
    </w:p>
    <w:p>
      <w:pPr>
        <w:pStyle w:val="Heading1"/>
      </w:pPr>
      <w:r>
        <w:t>Discussion</w:t>
      </w:r>
    </w:p>
    <w:p>
      <w:r>
        <w:t>## Discussion</w:t>
      </w:r>
    </w:p>
    <w:p>
      <w:r>
        <w:t xml:space="preserve">Our integration supports a </w:t>
      </w:r>
      <w:r>
        <w:rPr>
          <w:b/>
        </w:rPr>
        <w:t>two-axis hypothesis of POD</w:t>
      </w:r>
      <w:r>
        <w:t>:</w:t>
      </w:r>
    </w:p>
    <w:p>
      <w:r>
        <w:t xml:space="preserve">1. </w:t>
      </w:r>
      <w:r>
        <w:rPr>
          <w:b/>
        </w:rPr>
        <w:t>Constitutive axis — APOE ε4.</w:t>
      </w:r>
      <w:r>
        <w:t xml:space="preserve"> The GWAS is monolithic on chromosome 19 (37 genome-wide-significant SNPs, all in the APOE/TOMM40/APOC1/PVRL2 LD block; Armstrong reported 7 conditionally-independent lead SNPs); ε4 confers OR ≈ 1.86 per allele additively (isoform ORs 1.75 per ε4 copy and 4.19 for two copies, per Armstrong et al., *PLOS Medicine* 2026). This is a fixed, non-modifiable susceptibility. Importantly, the POD–AD genetic correlation ρ = 0.68 (reported by Armstrong et al. via APOE) means the constitutive axis is entangled with broader Alzheimer's-disease liability—a qualification, not a refutation of the two-axis framing.</w:t>
      </w:r>
    </w:p>
    <w:p>
      <w:r>
        <w:t xml:space="preserve">2. </w:t>
      </w:r>
      <w:r>
        <w:rPr>
          <w:b/>
        </w:rPr>
        <w:t>State axis — peripheral immune activation.</w:t>
      </w:r>
      <w:r>
        <w:t xml:space="preserve"> Independent of APOE, immune genes are directionally upregulated in POD blood (p = 0.0079); six IFNγ perturbations in LINCS all reversed the immune-restricted disease signature at FDR &lt; 0.05 (cited ifng-mdamb231 FDR = 3.4 × 10⁻⁴, the second-strongest of six; this is partly tautological given the signature's interferon-stimulated-gene content and is hypothesis-generating only); and glucocorticoids pass the repositioning positive-control test at the class level on the immune-restricted arm (whole-transcriptome arm marginal, p = 0.056)—a result that sits against mixed clinical evidence (a dexamethasone meta-analysis reporting null [15] versus a single-centre RCT, n = 93, non-CAM diagnosis, reporting positive [22] effects on POD, and statin trials reporting protective [16] or null [26] outcomes—although [26] MoDUS is an ICU medical-ventilation delirium-duration trial, not a surgical-POD prevention trial, so its null is not directly extrapolable to elective surgical POD), so specificity rather than a blanket anti-inflammatory effect is what the screen demands. This axis is, in principle, pharmacologically mutable. Its methylation correlate, however, is only partly cell-intrinsic: in whole blood it is substantially associated with—though not wholly explained by—the post-operative leucocyte composition shift, so the epigenomic evidence for the state axis is weaker than the transcriptomic and pharmacologic evidence.</w:t>
      </w:r>
    </w:p>
    <w:p>
      <w:r>
        <w:t xml:space="preserve">The two axes are *not* a priori the same process, but the genetic data are </w:t>
      </w:r>
      <w:r>
        <w:rPr>
          <w:b/>
        </w:rPr>
        <w:t>agnostic on dissociation</w:t>
      </w:r>
      <w:r>
        <w:t>: a GWAS captures germline variant–disease association, not downstream transcriptional mediation, so removing chromosome 19 and observing an immune-set null (p = 0.277) cannot discriminate "immune downstream of APOE ε4" from "immune independent axis". The case for dissociation therefore rests on the transcriptomic (Layer B) and pharmacologic (Layer D) layers, not on the GWAS, and is further qualified by the POD–AD genetic correlation ρ = 0.68 (via APOE), which means the constitutive axis is entangled with broader AD liability rather than cleanly APOE-only. The dissociation is echoed at the tissue level (methylation anchors TMIGD3/ADORA3 absent from PBMC) and at the perturbation level (the whole-transcriptome KO positive-control class failed its pre-specified direction, while the immune-restricted arm was plausible—but the KO failure is reported as a failed positive control, not as confirmatory support for two axes). APOE genotype itself modulates innate-immune tone (Refs [25,28]); the two axes are thus biologically overlapping as well as genetically non-separable, so immune modulation should be viewed as a target that may interact with APOE status rather than as fully independent of it. The KO class statistics reported above (immune-restricted z = +0.43, p = 0.34; whole-transcriptome z = −2.47, p = 0.9934) include the four anchor genes in the control list; a re-run excluding them is required for a fully non-circular estimate.</w:t>
      </w:r>
    </w:p>
    <w:p>
      <w:r>
        <w:rPr>
          <w:b/>
        </w:rPr>
        <w:t>Implications for repositioning.</w:t>
      </w:r>
      <w:r>
        <w:t xml:space="preserve"> The honest reading is that immune-modulating agents—particularly interferon-pathway and glucocorticoid-class drugs—are plausible *state-axis* modifiers worthy of prospective testing, but the current screen is hypothesis-generating: no </w:t>
      </w:r>
      <w:r>
        <w:rPr>
          <w:b/>
        </w:rPr>
        <w:t>small-molecule (chemical-arm)</w:t>
      </w:r>
      <w:r>
        <w:t xml:space="preserve"> compound cleared FDR at the drug level (chem `n_druglevel_fdr05 = 0` in both signatures); the cytokine ligand arm, by contrast, produced 24 FDR-significant perturbations (including the six IFNγ entries), but these are endogenous signalling molecules rather than repurposable drugs and are interpreted as pathway-level — not compound-level — evidence, and the virtual-knockout arm remains exploratory. We deliberately did not overstate these findings. Because the immune-restricted disease signature is interferon-stimulated-gene dominated, the six IFNγ perturbations that "reverse" it indicate that POD blood carries an active IFNγ/type-I-IFN programme; the actionable, hypothesis-generating direction suggested by this tautology is therefore *inhibition* of IFNγ (type II) / type-I-IFN signalling (e.g. JAK–STAT blockade, or specifically for type-I IFN, IFNAR antagonism); this inference is limited by the tautology between the ISG-rich signature and the IFNγ perturbations and should be read as consistent with — rather than independent evidence for — exacerbation of POD by IFNγ administration, pending experimental validation.</w:t>
      </w:r>
    </w:p>
    <w:p>
      <w:r>
        <w:rPr>
          <w:b/>
        </w:rPr>
        <w:t>Limitations, stated without rescue.</w:t>
      </w:r>
    </w:p>
    <w:p>
      <w:pPr>
        <w:pStyle w:val="ListBullet"/>
      </w:pPr>
      <w:r>
        <w:rPr>
          <w:b/>
        </w:rPr>
        <w:t>Two-axis dissociation is a framework, not a tested result.</w:t>
      </w:r>
      <w:r>
        <w:t xml:space="preserve"> No layer carried APOE ε4 genotypes, so we could not empirically test whether the immune state axis is independent of or downstream from APOE ε4; the immune signal was measured post-operatively and therefore cannot establish temporal priority or causal direction relative to delirium onset. The dissociation is a working hypothesis supported only indirectly by the transcriptomic (Layer B) and pharmacologic (Layer D) layers, never by the GWAS.</w:t>
      </w:r>
    </w:p>
    <w:p>
      <w:pPr>
        <w:pStyle w:val="ListBullet"/>
      </w:pPr>
      <w:r>
        <w:t>GSE163943 has only 8 samples; 0 genes survive FDR, so transcriptomic claims are directional only.</w:t>
      </w:r>
    </w:p>
    <w:p>
      <w:pPr>
        <w:pStyle w:val="ListBullet"/>
      </w:pPr>
      <w:r>
        <w:rPr>
          <w:b/>
        </w:rPr>
        <w:t>Methylation layer design.</w:t>
      </w:r>
      <w:r>
        <w:t xml:space="preserve"> GEO deposition contains POD cases only, so the design is paired-within-POD without non-delirium controls and the immune signal is necessarily more modest than Seki 2026's Time×Group model; the directional p = 0.041 is hypothesis-generating, not a genome-wide claim. Day0/Day3 is not encoded in the GEO header, so the WMA uses all post-operative profiles rather than a Day0-only baseline subgroup. DMRs were called with B = 0 (no permutation) and are therefore descriptive, without empirical FDR control. Probe-level paired testing with n = 65 is underpowered (11 probes reach FDR &lt; 0.05 array-wide, none of them immune).</w:t>
      </w:r>
    </w:p>
    <w:p>
      <w:pPr>
        <w:pStyle w:val="ListBullet"/>
      </w:pPr>
      <w:r>
        <w:rPr>
          <w:b/>
        </w:rPr>
        <w:t>Interpretation of the composition adjustment.</w:t>
      </w:r>
      <w:r>
        <w:t xml:space="preserve"> Composition estimates carry measurement error, so adjusting for them also removes some genuine within-cell signal (regression dilution); the residual that survives adjustment cannot be cleanly separated from that artefact. The magnitude of the "composition-attributable" share is sensitivity-dependent: regressing on the estimated neutrophil change removed 61% of DMRs, whereas the DMR-level granulocyte-subtype covariate (neutrophils + eosinophils + basophils, </w:t>
      </w:r>
      <w:r>
        <w:rPr>
          <w:b/>
        </w:rPr>
        <w:t>not</w:t>
      </w:r>
      <w:r>
        <w:t xml:space="preserve"> the three-lineage Neu+Lymph+Mono covariate used at the probe level) removed 46%, and the probe-level |t| enrichment fell from p = 2.46 × 10⁻⁴ to p = 0.724 (neutrophil) / 0.55 (Neu+Lymph+Mono at the probe level). We therefore describe the methylation immune signal as *substantially composition-associated* rather than wholly composition-driven. Both covariate specifications remove a similar overall DMR burden, but the immune-overlapping proportion is essentially flat (0.59% → 0.47–0.50%), indicating adjustment removes a global post-surgical methylation shift rather than a disproportionate immune component; the immune-specific composition conclusion is therefore carried by the probe-level |t| enrichment test (p = 2.46 × 10⁻⁴ → 0.724/0.55), and the 46–61% range is a descriptive upper bound, not a sensitivity interval. The directional Set-1 signed-t test (unadjusted MWU p = 0.041 on limma moderated t) was not re-computed after composition adjustment using the same limma moderated-t definition; a sensitivity re-analysis using OLS-on-delta t (the same t used for the |t| enrichment test above) on the 83-gene Set-2 immune probe set gave unadjusted MWU p = 0.296, dNeu-adjusted p = 0.098, and three-lineage-adjusted p = 0.141 (see `analysis/adjust/set1_signed_t_adjusted.csv`). Because this OLS-on-delta t differs in both gene set (Set-2, 83 genes) and t definition (OLS intercept t, not limma moderated t) from the headline Set-1 signed-t test, it cannot directly answer whether the directional limma-t signal survives composition adjustment; we therefore report the directional signal as not-yet-composition-validated and hypothesis-generating.</w:t>
      </w:r>
    </w:p>
    <w:p>
      <w:r>
        <w:rPr>
          <w:b/>
        </w:rPr>
        <w:t>Table 1. Layer-A methylation signal — all reported tests (not interchangeable).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t>Test</w:t>
            </w:r>
          </w:p>
        </w:tc>
        <w:tc>
          <w:tcPr>
            <w:tcW w:type="dxa" w:w="1728"/>
          </w:tcPr>
          <w:p>
            <w:r/>
            <w:r>
              <w:t>Gene set</w:t>
            </w:r>
          </w:p>
        </w:tc>
        <w:tc>
          <w:tcPr>
            <w:tcW w:type="dxa" w:w="1728"/>
          </w:tcPr>
          <w:p>
            <w:r/>
            <w:r>
              <w:t>t-statistic definition</w:t>
            </w:r>
          </w:p>
        </w:tc>
        <w:tc>
          <w:tcPr>
            <w:tcW w:type="dxa" w:w="1728"/>
          </w:tcPr>
          <w:p>
            <w:r/>
            <w:r>
              <w:t>Composition-adjusted?</w:t>
            </w:r>
          </w:p>
        </w:tc>
        <w:tc>
          <w:tcPr>
            <w:tcW w:type="dxa" w:w="1728"/>
          </w:tcPr>
          <w:p>
            <w:r/>
            <w:r>
              <w:t>p</w:t>
            </w:r>
          </w:p>
        </w:tc>
      </w:tr>
      <w:tr>
        <w:tc>
          <w:tcPr>
            <w:tcW w:type="dxa" w:w="1728"/>
          </w:tcPr>
          <w:p>
            <w:r/>
            <w:r>
              <w:t>Set-1 signed-t MWU (Results)</w:t>
            </w:r>
          </w:p>
        </w:tc>
        <w:tc>
          <w:tcPr>
            <w:tcW w:type="dxa" w:w="1728"/>
          </w:tcPr>
          <w:p>
            <w:r/>
            <w:r>
              <w:t>49 genes / 737 probes</w:t>
            </w:r>
          </w:p>
        </w:tc>
        <w:tc>
          <w:tcPr>
            <w:tcW w:type="dxa" w:w="1728"/>
          </w:tcPr>
          <w:p>
            <w:r/>
            <w:r>
              <w:t>limma moderated t (unadjusted)</w:t>
            </w:r>
          </w:p>
        </w:tc>
        <w:tc>
          <w:tcPr>
            <w:tcW w:type="dxa" w:w="1728"/>
          </w:tcPr>
          <w:p>
            <w:r/>
            <w:r>
              <w:t>No — no analogue exists</w:t>
            </w:r>
          </w:p>
        </w:tc>
        <w:tc>
          <w:tcPr>
            <w:tcW w:type="dxa" w:w="1728"/>
          </w:tcPr>
          <w:p>
            <w:r/>
            <w:r>
              <w:t>0.041</w:t>
            </w:r>
          </w:p>
        </w:tc>
      </w:tr>
      <w:tr>
        <w:tc>
          <w:tcPr>
            <w:tcW w:type="dxa" w:w="1728"/>
          </w:tcPr>
          <w:p>
            <w:r/>
            <w:r>
              <w:t>Set-2 OLS signed-t MWU (sensitivity)</w:t>
            </w:r>
          </w:p>
        </w:tc>
        <w:tc>
          <w:tcPr>
            <w:tcW w:type="dxa" w:w="1728"/>
          </w:tcPr>
          <w:p>
            <w:r/>
            <w:r>
              <w:t>83 genes / 1,195 probes</w:t>
            </w:r>
          </w:p>
        </w:tc>
        <w:tc>
          <w:tcPr>
            <w:tcW w:type="dxa" w:w="1728"/>
          </w:tcPr>
          <w:p>
            <w:r/>
            <w:r>
              <w:t>OLS-on-delta intercept t</w:t>
            </w:r>
          </w:p>
        </w:tc>
        <w:tc>
          <w:tcPr>
            <w:tcW w:type="dxa" w:w="1728"/>
          </w:tcPr>
          <w:p>
            <w:r/>
            <w:r>
              <w:t>Yes (dNeu / 3-lineage)</w:t>
            </w:r>
          </w:p>
        </w:tc>
        <w:tc>
          <w:tcPr>
            <w:tcW w:type="dxa" w:w="1728"/>
          </w:tcPr>
          <w:p>
            <w:r/>
            <w:r>
              <w:t>0.296 / 0.098 / 0.141</w:t>
            </w:r>
          </w:p>
        </w:tc>
      </w:tr>
      <w:tr>
        <w:tc>
          <w:tcPr>
            <w:tcW w:type="dxa" w:w="1728"/>
          </w:tcPr>
          <w:p>
            <w:r/>
            <w:r>
              <w:t>|t| enrichment MWU (Figure 2C)</w:t>
            </w:r>
          </w:p>
        </w:tc>
        <w:tc>
          <w:tcPr>
            <w:tcW w:type="dxa" w:w="1728"/>
          </w:tcPr>
          <w:p>
            <w:r/>
            <w:r>
              <w:t>737 probes (Set-1)</w:t>
            </w:r>
          </w:p>
        </w:tc>
        <w:tc>
          <w:tcPr>
            <w:tcW w:type="dxa" w:w="1728"/>
          </w:tcPr>
          <w:p>
            <w:r/>
            <w:r>
              <w:t>magnitude (|t|), not signed</w:t>
            </w:r>
          </w:p>
        </w:tc>
        <w:tc>
          <w:tcPr>
            <w:tcW w:type="dxa" w:w="1728"/>
          </w:tcPr>
          <w:p>
            <w:r/>
            <w:r>
              <w:t>Yes (dNeu / 3-lineage)</w:t>
            </w:r>
          </w:p>
        </w:tc>
        <w:tc>
          <w:tcPr>
            <w:tcW w:type="dxa" w:w="1728"/>
          </w:tcPr>
          <w:p>
            <w:r/>
            <w:r>
              <w:t>2.46 × 10⁻⁴ → 0.724 / 0.55</w:t>
            </w:r>
          </w:p>
        </w:tc>
      </w:tr>
    </w:tbl>
    <w:p>
      <w:r>
        <w:t>The Set-1 and Set-2 tests differ in both gene set and t definition, so Set-2 cannot confirm or refute Set-1; the \|t\| enrichment test is a distinct magnitude-based test. This does not make Layer A uninformative—the leucocyte shift is itself a positive, reproducible result—but it does mean the methylation layer cannot be read as evidence of cell-intrinsic innate-immune reprogramming. This composition association is our own Layer A finding and is not directly tested in Nishizawa et al. [17], which replicated case–control CpG-level differences across four cohorts without composition adjustment; we cite [17] only as evidence that delirium blood-methylation signals replicate, not as support for the composition-driven attenuation we observe. Multi-tissue delirium methylome studies report analogous compositional sensitivity [38].</w:t>
      </w:r>
    </w:p>
    <w:p>
      <w:pPr>
        <w:pStyle w:val="ListBullet"/>
      </w:pPr>
      <w:r>
        <w:rPr>
          <w:b/>
        </w:rPr>
        <w:t>Deconvolution scope.</w:t>
      </w:r>
      <w:r>
        <w:t xml:space="preserve"> Owing to the reduced row coverage of the deposited beta matrix (312,514 of ~935,000 EPIC v2 probes), each reference contributed only 66–641 informative probes, and subtype-level fractions (CD4T naive versus memory, Treg, B subsets) are not identifiable because of collinearity among lymphoid centroids; only lineage-level estimates are interpreted. Absolute granulocyte fractions are higher than expected for healthy adults, indicating a systematic offset, though the paired within-subject change is robust.</w:t>
      </w:r>
    </w:p>
    <w:p>
      <w:pPr>
        <w:pStyle w:val="ListBullet"/>
      </w:pPr>
      <w:r>
        <w:t>scRNA PBMC (2 POD vs 2 non-POD patients, 4 vs 3 usable libraries) is underpowered for proportion tests (patient-level 2 vs 2 MWU minimum achievable one-sided p = 1/6 ≈ 0.167; library-level 4 vs 3 minimum p ≈ 0.23); it is descriptive.</w:t>
      </w:r>
    </w:p>
    <w:p>
      <w:pPr>
        <w:pStyle w:val="ListBullet"/>
      </w:pPr>
      <w:r>
        <w:t>The virtual-knockout arm failed its whole-transcriptome class test; we report it as a caveat, not evidence.</w:t>
      </w:r>
    </w:p>
    <w:p>
      <w:pPr>
        <w:pStyle w:val="ListBullet"/>
      </w:pPr>
      <w:r>
        <w:t xml:space="preserve">Docking is an audit only (no poses computed); three anchors (TMIGD3, COL13A1, SPATA13) lack experimental structures and would require AlphaFold models [14]. ADORA3, by contrast, has experimental structures (8X16, 8X17, 9EBH, 9EBI, 9EHS) and is a ligand-characterised adenosine A3 receptor and a plausible *brain/endothelial* docking target, with the therapeutic direction being A3 </w:t>
      </w:r>
      <w:r>
        <w:rPr>
          <w:b/>
        </w:rPr>
        <w:t>antagonism</w:t>
      </w:r>
      <w:r>
        <w:t xml:space="preserve"> (counterintuitive, because A3 signalling counteracts the A2A-mediated inhibition of TLR responses in microglia [20]); the cited adenosine-receptor neuroinflammation literature is receptor-subtype-heterogeneous—[20] supports A3, [23] supports A2A, and [24] supports A1/A2A—so the three references should not be read as a uniform endorsement of ADORA3. Its low expression in PBMC (noted in Layer C) does not preclude it as a target, because PBMC are not the relevant tissue for an adenosine-receptor immunomodulator, whereas TMIGD3 is a transmembrane protein with no characterised ligand-binding pocket and remains a low-priority docking candidate.</w:t>
      </w:r>
    </w:p>
    <w:p>
      <w:pPr>
        <w:pStyle w:val="ListBullet"/>
      </w:pPr>
      <w:r>
        <w:rPr>
          <w:b/>
        </w:rPr>
        <w:t>KO positive-control circularity.</w:t>
      </w:r>
      <w:r>
        <w:t xml:space="preserve"> The KO positive-control class list (layerD_real_lincs.py KO_POSITIVE_CONTROLS) includes four anchor genes (adora3, cd63, ltf, col18a1) that are also objects of study in Layers C/E and the methylation anchor set; the class-level z-test is therefore partially circular. The four anchor-gene KO results individually: adora3 percentile 25.28% (NS), cd63 17.10% (NS, strong mimic), ltf 41.55% (p = 0.062), col18a1 44.17% (NS). We therefore report the KO class test as descriptive, and treat the anchor genes as KO candidates rather than as independent positive controls; a re-run excluding the four anchor genes would be needed for a non-circular class test.</w:t>
      </w:r>
    </w:p>
    <w:p>
      <w:pPr>
        <w:pStyle w:val="ListBullet"/>
      </w:pPr>
      <w:r>
        <w:t>All repositioning rests on LINCS consensus gene sets (overlap-enrichment, not full-ranked CMap τ); this is stated in Methods.</w:t>
      </w:r>
    </w:p>
    <w:p>
      <w:r>
        <w:t>---</w:t>
      </w:r>
    </w:p>
    <w:p>
      <w:pPr>
        <w:pStyle w:val="Heading1"/>
      </w:pPr>
      <w:r>
        <w:t>Conclusions</w:t>
      </w:r>
    </w:p>
    <w:p>
      <w:r>
        <w:t>## Conclusions</w:t>
      </w:r>
    </w:p>
    <w:p>
      <w:r>
        <w:t>POD is most parsimoniously modelled by a working two-axis hypothesis: a constitutive APOE ε4 susceptibility axis and a candidate peripheral immune activation state axis. The genetic dissociation between the two axes is not directly testable from GWAS alone (a GWAS measures germline variant–disease association, not transcriptional mediation) and is supported only indirectly by the transcriptomic (Layer B) and pharmacologic (Layer D) layers; the constitutive axis is itself entangled with broader Alzheimer's-disease liability (POD–AD genetic correlation ρ = 0.68 via APOE), a qualification rather than a refutation of the two-axis framing. Multi-omics integration and in-silico repositioning support—rather than establish—the immune state axis as a candidate therapeutic target whose modifiability remains unproven and requires randomized interventional testing, with interferon-inhibition/glucocorticoid-class pathways as the leading, explicitly hypothesis-generating candidates; demonstrating that immune modulation alters POD requires a randomized interventional test, which the present observational study cannot supply. One qualification travels with this conclusion: the methylation correlate of the state axis is substantially associated with—not fully explained by—the post-operative leucocyte-composition shift rather than by cell-intrinsic reprogramming, so the epigenomic evidence for the state axis is weaker than its transcriptomic and pharmacologic support. We present the negative and null results as load-bearing parts of the argument.</w:t>
      </w:r>
    </w:p>
    <w:p>
      <w:r>
        <w:t>---</w:t>
      </w:r>
    </w:p>
    <w:p>
      <w:pPr>
        <w:pStyle w:val="Heading1"/>
      </w:pPr>
      <w:r>
        <w:t>Abbreviations</w:t>
      </w:r>
    </w:p>
    <w:p>
      <w:r>
        <w:t>## Abbreviations</w:t>
      </w:r>
    </w:p>
    <w:p>
      <w:r>
        <w:t>POD — postoperative delirium; POCD — postoperative cognitive dysfunction; PND — perioperative neurocognitive disorder; GWAS — genome-wide association study; LINCS L1000 — Library of Integrated Network-Based Cellular Signatures; KO — knockout; FDR — false discovery rate; BH — Benjamini–Hochberg; OR — odds ratio; LD — linkage disequilibrium; EPIC v2 — Illumina Infinium MethylationEPIC v2; scRNA-seq — single-cell RNA sequencing; PBMC — peripheral blood mononuclear cell; DMP — differentially methylated probe; DMR — differentially methylated region; MWU — Mann–Whitney U test; WMA — within-subject methylation autoregression; NNLS — non-negative least squares; SVD — singular value decomposition; CPM — counts per million; CP — the Teschendorff CP deconvolution solver; CBS — the CBS deconvolution solver; RPC — the RPC deconvolution solver; λ — genomic-control inflation factor.</w:t>
      </w:r>
    </w:p>
    <w:p>
      <w:pPr>
        <w:pStyle w:val="Heading1"/>
      </w:pPr>
      <w:r>
        <w:t>Declarations</w:t>
      </w:r>
    </w:p>
    <w:p>
      <w:r>
        <w:t>## Declarations</w:t>
      </w:r>
    </w:p>
    <w:p>
      <w:r>
        <w:rPr>
          <w:b/>
        </w:rPr>
        <w:t>Ethics approval and consent to participate.</w:t>
      </w:r>
      <w:r>
        <w:t xml:space="preserve"> The original GEO and GWAS studies obtained ethics approval and informed consent from their participants. This study is a secondary analysis of publicly available, de-identified datasets (GEO and published GWAS summary statistics) and is exempt from separate Institutional Review Board review: the original GEO and GWAS studies obtained ethics approval (GSE330869 under the submitting institutions' IRBs, per that study's published ethics statement; Armstrong 2026 under UK Biobank's generic Research Tissue Bank ethics approval, with summary statistics accessed via the University of Bristol Research Data Repository) and participant informed consent, and no new human-subjects data were generated, so separate IRB review was waived per journal policy.</w:t>
      </w:r>
    </w:p>
    <w:p>
      <w:r>
        <w:rPr>
          <w:b/>
        </w:rPr>
        <w:t>Consent for publication.</w:t>
      </w:r>
      <w:r>
        <w:t xml:space="preserve"> Not applicable.</w:t>
      </w:r>
    </w:p>
    <w:p>
      <w:r>
        <w:rPr>
          <w:b/>
        </w:rPr>
        <w:t>Data availability.</w:t>
      </w:r>
      <w:r>
        <w:t xml:space="preserve"> All analysis code, intermediate result tables, the LINCS gene-set libraries used, and a MANIFEST.sha256 checksum file are publicly available in the version-controlled GitHub repository at https://github.com/yyx-4113/pod-immune-hub-repositioning; a permanent, versioned Zenodo archive (DOI: 10.5281/zenodo.22896443) is the public, citable mirror of the same tagged release and is the recommended access point. The Zenodo archive contains only our analysis code and result tables (checksummed via MANIFEST.sha256) and does not redistribute the restricted third-party datasets. Source data: GSE163943, GSE252572, GSE330869 (NCBI GEO); the Armstrong POD GWAS summary statistics are released under a Non-Commercial Government Licence (Armstrong et al., *PLOS Medicine* 2026, DOI 10.1371/journal.pmed.1004963; summary-statistics data DOI 10.5523/bris.1m83zai2e26yq2lro3tixz9kqq) and are accessed via the original University of Bristol repository rather than redistributed by us; LINCS L1000 consensus signatures (Enrichr / maayanlab.cloud).</w:t>
      </w:r>
    </w:p>
    <w:p>
      <w:r>
        <w:rPr>
          <w:b/>
        </w:rPr>
        <w:t>Funding.</w:t>
      </w:r>
      <w:r>
        <w:t xml:space="preserve"> None.</w:t>
      </w:r>
    </w:p>
    <w:p>
      <w:r>
        <w:rPr>
          <w:b/>
        </w:rPr>
        <w:t>Author contributions.</w:t>
      </w:r>
      <w:r>
        <w:t xml:space="preserve"> YY meets all four ICMJE authorship criteria (substantial contributions to conception and design; acquisition, analysis, and interpretation of data; drafting and revising the manuscript; final approval of the version to be published; and agreement to be accountable for all aspects of the work). No other individual qualifies for authorship. YY is the sole author and guarantor of the work. The author holds a Bachelor of Medicine (B.M.) degree; no postgraduate degree (MD/PhD/MS) is claimed.</w:t>
      </w:r>
    </w:p>
    <w:p>
      <w:r>
        <w:rPr>
          <w:b/>
        </w:rPr>
        <w:t>Competing interests.</w:t>
      </w:r>
      <w:r>
        <w:t xml:space="preserve"> The author declares no competing interests.</w:t>
      </w:r>
    </w:p>
    <w:p>
      <w:r>
        <w:rPr>
          <w:b/>
        </w:rPr>
        <w:t>Acknowledgements.</w:t>
      </w:r>
      <w:r>
        <w:t xml:space="preserve"> The author thanks the data generators of the Gene Expression Omnibus (GSE163943, GSE252572, GSE330869), the UK Biobank delirium GWAS (Armstrong et al.), and the LINCS L1000 / Enrichr consortium (maayanlab.cloud) for making their data publicly available. Computational work used managed Python 3.13 with numpy, scipy, and pandas; R/Bioconductor packages limma, minfi, EpiDISH, bumphunter, and glmnet; and the LINCS/Enrichr APIs.</w:t>
      </w:r>
    </w:p>
    <w:p>
      <w:r>
        <w:t>---</w:t>
      </w:r>
    </w:p>
    <w:p>
      <w:pPr>
        <w:pStyle w:val="Heading1"/>
      </w:pPr>
      <w:r>
        <w:t>References</w:t>
      </w:r>
    </w:p>
    <w:p>
      <w:r>
        <w:t>## References</w:t>
      </w:r>
    </w:p>
    <w:p>
      <w:r>
        <w:t>1. Meza Monge K, Shapiro AL, Coughlan C, Mungo B, Schulick R, Pratap A, Kovacs EJ, Idrovo JP. From Bench to Bedside: New Frontiers in Understanding and Treating Postoperative Delirium. *J Clin Med.* 2025;14(23):8418. doi:10.3390/jcm14238418. PMID 41375722; PMCID PMC12692889.</w:t>
      </w:r>
    </w:p>
    <w:p>
      <w:r>
        <w:t>2. Mosharaf MP, Alam K, Gow J, Mahumud RA. Cytokines and inflammatory biomarkers and their association with post-operative delirium: a meta-analysis and systematic review. *Sci Rep.* 2025;15(1):7830. doi:10.1038/s41598-024-82992-6. PMID 40050293; PMCID PMC11885470.</w:t>
      </w:r>
    </w:p>
    <w:p>
      <w:r>
        <w:t>3. Hsiao WJ, Chen CY, Kang YN, Hu CJ, Chen CH, Lin PL, Lin YC. Apolipoprotein E4 allele is genetically associated with risk of the short- and medium-term postoperative cognitive dysfunction: a meta-analysis and trial sequential analysis. *PLoS One.* 2023;18(2):e0282214. doi:10.1371/journal.pone.0282214. PMID 36827351. PMCID PMC9955600.</w:t>
      </w:r>
    </w:p>
    <w:p>
      <w:r>
        <w:t>4. Wu J, Cheng Z, Liao X, Yang P, Wu Q, Wang T, Meng W, Tang Z, Du L. Perioperative Profiles of Immune Cells in Patients with Postoperative Delirium After Cardiac Surgery with Cardiopulmonary Bypass. *Biomedicines.* 2025;13(12):2962. doi:10.3390/biomedicines13122962. PMID 41462974; PMCID PMC12730709. (GSE252572 source publication)</w:t>
      </w:r>
    </w:p>
    <w:p>
      <w:r>
        <w:t>5. Song Y, Wang X, Hou A, Li H, Lou J, Liu Y, Cao J, Mi W. Integrative analysis of lncRNA and mRNA expression profiles in postoperative delirium patients. *Front Aging Neurosci.* 2021;13:665935. doi:10.3389/fnagi.2021.665935. PMID 34093168; PMCID PMC8171121. (GSE163943 source publication)</w:t>
      </w:r>
    </w:p>
    <w:p>
      <w:r>
        <w:t>6. Seki T, Nishitani S, Nishizawa Y, Yamanishi K, Shimura A, Nishiguchi T, Ishii T, Aoyama B, Santiago TA, Phuong NJ, Gorantla N, Nguyen HD, Takeda R, Kameoka T, Inoue T, Sugiyama D, Ueda K, Yamanashi T, Shinozaki G. Epigenetic biomarker of delirium risk. *Transl Psychiatry.* 2026;16(1):349. PMID 42143058; PMCID PMC13347018; DOI 10.1038/s41398-026-04067-6. (GSE330869)</w:t>
      </w:r>
    </w:p>
    <w:p>
      <w:r>
        <w:t>7. Armstrong RA, Yousefi P, Gibbison B, Khandaker GM, Gaunt TR. The genetic architecture of postoperative delirium after major surgery and its relationship with nonpostoperative neurocognitive conditions: A genome-wide association study. *PLOS Medicine*. 2026;23(3):e1004963. doi:10.1371/journal.pmed.1004963. PMID 41770756. Summary statistics deposited at the University of Bristol Research Data Repository, data DOI 10.5523/bris.1m83zai2e26yq2lro3tixz9kqq.</w:t>
      </w:r>
    </w:p>
    <w:p>
      <w:r>
        <w:t>8. Subramanian A, Narayan R, Corsello SM, Peck DD, Natoli TE, Lu X, Gould J, Davis JF, Tubelli AA, Asiedu JK, Lahr DL, Hirschman JE, Liu Z, Donahue M, Julian B, Khan M, Wadden D, Smith IC, Lam D, Liberzon A, Toder C, Bagul M, Orzechowski M, Enache OM, Piccioni F, Johnson SA, Lyons NJ, Berger AH, Shamji AF, Brooks AN, Vrcic A, Flynn C, Rosains J, Takeda DY, Hu R, Davison D, Lamb J, Ardlie K, Hogstrom L, Greenside P, Gray NS, Clemons PA, Silver S, Wu X, Zhao WN, Read-Button W, Wu X, Haggarty SJ, Ronco LV, Boehm JS, Schreiber SL, Doench JG, Bittker JA, Root DE, Wong B, Golub TR. A next-generation connectivity map. *Cell.* 2017;171(6):1437–1452. (LINCS L1000)</w:t>
      </w:r>
    </w:p>
    <w:p>
      <w:r>
        <w:t>9. Kuleshov MV, Jones MR, Rouillard AD, Fernandez NF, Duan Q, Wang Z, Koplev S, Jenkins SL, Jagodnik KM, Lachmann A, McDermott MG, Monteiro CD, Gundersen GW, Ma'ayan A. Enrichr: a comprehensive gene-set enrichment analysis web server. *Nucleic Acids Res.* 2016;44(W1):W90–W97.</w:t>
      </w:r>
    </w:p>
    <w:p>
      <w:r>
        <w:t>10. Houseman EA, Accomando WP, Koestler DC, Christensen BC, Marsit CJ, Nelson HH, Wiencke JK, Kelsey KT. DNA methylation arrays as surrogate measures of cell mixture distribution. *BMC Bioinformatics.* 2012;13:86. doi:10.1186/1471-2105-13-86. (reference-based deconvolution, original method)</w:t>
      </w:r>
    </w:p>
    <w:p>
      <w:r>
        <w:t>11. Teschendorff AE, Breeze CE, Zheng SC, Beck S. A comparison of reference-based algorithms for correcting cell-type heterogeneity in Epigenome-Wide Association Studies. *BMC Bioinformatics.* 2017;18:105. doi:10.1186/s12859-017-1511-5. (CP / CBS / RPC solvers benchmarked)</w:t>
      </w:r>
    </w:p>
    <w:p>
      <w:r>
        <w:t>12. Zheng SC, Breeze CE, Beck S, Teschendorff AE. Identification of differentially methylated cell-types in Epigenome-Wide Association Studies. *Nat Methods.* 2018;15(12):1059–1066. doi:10.1038/s41592-018-0213-x. (EpiDISH package; reference centroids used here)</w:t>
      </w:r>
    </w:p>
    <w:p>
      <w:r>
        <w:t>13. Newman AM, Liu CL, Green MR, Gentles AJ, Feng W, Xu Y, Hoang CD, Diehn M, Alizadeh AA. Robust enumeration of cell subsets from tissue expression profiles. *Nat Methods.* 2015;12(5):453–457. doi:10.1038/nmeth.3337. (CIBERSORT nu-SVR)</w:t>
      </w:r>
    </w:p>
    <w:p>
      <w:r>
        <w:t>14. Jumper J, Evans R, Pritzel A, Green T, Figurnov M, Ronneberger O, Tunyasuvunakool K, Bates R, Žídek A, Potapenko A, Bridgland A, Meyer C, Kohl SAA, Ballard AJ, Cowie A, Romera-Paredes B, Nikolov S, Jain R, Adler J, Back T, Petersen S, Reiman D, Clancy E, Zielinski M, Steinegger M, Pacholska M, Berghammer T, Bodenstein S, Silver D, Vinyals O, Senior AW, Kavukcuoglu K, Kohli P, Hassabis D. Highly accurate protein structure prediction with AlphaFold. *Nature.* 2021;596(7873):583–589. doi:10.1038/s41586-021-03819-2.</w:t>
      </w:r>
    </w:p>
    <w:p>
      <w:r>
        <w:t>15. Li LQ, Wang C, Fang MD, Xu HY, Lu HL, Zhang HZ. Effects of dexamethasone on postoperative cognitive dysfunction and delirium in adults following general anaesthesia: a meta-analysis of randomised controlled trials. *BMC Anesthesiol.* 2019;19:113. doi:10.1186/s12871-019-0783-x. PMID 31253079. PMCID PMC6599229.</w:t>
      </w:r>
    </w:p>
    <w:p>
      <w:r>
        <w:t>16. Xu XQ, Luo JZ, Li XY, Tang HQ, Lu WH. Effects of perioperative rosuvastatin on postoperative delirium in elderly patients: a randomized, double-blind, and placebo-controlled trial. *World J Clin Cases.* 2021;9(21):5909–5920. PMID 34368309. doi:10.12998/wjcc.v9.i21.5909.</w:t>
      </w:r>
    </w:p>
    <w:p>
      <w:r>
        <w:t>17. Nishizawa Y, Thompson KC, Yamanashi T, Wahba NE, Saito T, Marra PS, Nagao T, Nishiguchi T, Shibata K, Yamanishi K, Hughes CG, Pandharipande P, Cho H, Howard MA, Kawasaki H, Toda H, Kanazawa T, Iwata M, Shinozaki G. Epigenetic signals associated with delirium replicated across four independent cohorts. *Transl Psychiatry.* 2024;14(1):275. PMID 38965205. doi:10.1038/s41398-024-02986-w.</w:t>
      </w:r>
    </w:p>
    <w:p>
      <w:r>
        <w:t>18. Sarejloo S, Shojaei N, Lucke-Wold B, Zelmanovich R, Khanzadeh S. Neutrophil to lymphocyte ratio and platelet to lymphocyte ratio as prognostic predictors for delirium in critically ill patients: a systematic review and meta-analysis. *BMC Anesthesiol.* 2023;23:58. PMID 36803215. doi:10.1186/s12871-023-01997-2.</w:t>
      </w:r>
    </w:p>
    <w:p>
      <w:r>
        <w:t>19. Xiao MZ, Liu CX, Zhou LG, Yang Y, Wang Y. Postoperative delirium, neuroinflammation, and influencing factors of postoperative delirium: a review. *Medicine (Baltimore).* 2023;102(8):e32991. PMID 36827061. doi:10.1097/MD.0000000000032991.</w:t>
      </w:r>
    </w:p>
    <w:p>
      <w:r>
        <w:t>20. van der Putten C, Zuiderwijk-Sick EA, van Straalen L, de Geus ED, Boven LA, Kondova I, IJzerman AP, Bajramovic JJ. Differential expression of adenosine A3 receptors controls adenosine A2A receptor-mediated inhibition of TLR responses in microglia. *J Immunol.* 2009;182(12):7603–7612. doi:10.4049/jimmunol.0803383.</w:t>
      </w:r>
    </w:p>
    <w:p>
      <w:r>
        <w:t>21. Devinney MJ, Wong MK, Wright MC, Marcantonio ER, Terrando N, Browndyke JN, Whitson HE, Cohen HJ, Nackley AG, Klein ME, Ely EW, Mathew JP, Berger M, MADCO-PC and INTUIT Study Teams. Role of blood-brain barrier dysfunction in delirium following non-cardiac surgery in older adults. *Ann Neurol.* 2023;94(6):1024–1035. PMID 37615660. doi:10.1002/ana.26771.</w:t>
      </w:r>
    </w:p>
    <w:p>
      <w:r>
        <w:t>22. Mardani D, Bigdelian H. Prophylaxis of dexamethasone protects patients from further postoperative delirium after cardiac surgery: a randomized trial. *J Res Med Sci.* 2013;18(2):137–143. PMID 23914217.</w:t>
      </w:r>
    </w:p>
    <w:p>
      <w:r>
        <w:t>23. Rebola N, Simões AP, Canas PM, Tomé AR, Andrade GM, Barry CE, Agostinho PM, Lynch MA, Cunha RA. Adenosine A2A receptors control neuroinflammation and consequent hippocampal neuronal dysfunction. *J Neurochem.* 2011;117(1):100–111. PMID 21235574. doi:10.1111/j.1471-4159.2011.07178.x.</w:t>
      </w:r>
    </w:p>
    <w:p>
      <w:r>
        <w:t>24. Martí Navia A, Dal Ben D, Lambertucci C, Spinaci A, Volpini R, Marques-Morgado I, Coelho JE, Lopes LV, Marucci G, Buccioni M. Adenosine receptors as neuroinflammation modulators: role of A1 agonists and A2A antagonists. *Cells.* 2020;9(7):1739. PMID 32708189. doi:10.3390/cells9071739.</w:t>
      </w:r>
    </w:p>
    <w:p>
      <w:r>
        <w:t>25. Serrano-Pozo A, Li Z, Noori A, Nguyen HN, Mezlini A, Li L, Hudry E, Jackson RJ, Hyman BT, Das S. Effect of APOE alleles on the glial transcriptome in normal aging and Alzheimer's disease. *Nat Aging.* 2021;1(10):919–931. PMID 36199750. doi:10.1038/s43587-021-00123-6.</w:t>
      </w:r>
    </w:p>
    <w:p>
      <w:r>
        <w:t>26. Page VJ, Casarin A, Ely EW, Zhao XB, McDowell C, Murphy L, McAuley DF. Evaluation of early administration of simvastatin in the prevention and treatment of delirium in critically ill patients undergoing mechanical ventilation (MoDUS): a randomised, double-blind, placebo-controlled trial. *Lancet Respir Med.* 2017;5(9):727–737. PMID 28734823. doi:10.1016/S2213-2600(17)30234-5.</w:t>
      </w:r>
    </w:p>
    <w:p>
      <w:r>
        <w:t>27. Eckenhoff RG, Maze M, Xie Z, Culley DJ, Goodlin SJ, Zuo Z, Wei H, Whittington RA, Terrando N, Orser BA, Eckenhoff MF. Perioperative neurocognitive disorder: state of the preclinical science. *Anesthesiology.* 2020;132(1):55–68. PMID 31834869. doi:10.1097/ALN.0000000000002956.</w:t>
      </w:r>
    </w:p>
    <w:p>
      <w:r>
        <w:t>28. Jackson RJ, Meltzer JC, Nguyen H, Commins C, Bennett RE, Hudry E, Hyman BT. APOE4 derived from astrocytes leads to blood-brain barrier impairment. *Brain.* 2022;145(10):3582–3593. PMID 34957486. doi:10.1093/brain/awab478.</w:t>
      </w:r>
    </w:p>
    <w:p>
      <w:r>
        <w:t>29. Kong H, Xu LM, Wang DX. Perioperative neurocognitive disorders: a narrative review focusing on diagnosis, prevention, and treatment. *CNS Neurosci Ther.* 2022;28(8):1147–1167. PMID 35652170.</w:t>
      </w:r>
    </w:p>
    <w:p>
      <w:r>
        <w:t>30. Aldecoa C, Bettelli G, Bilotta F, Sanders RD, Audisio R, Borozdina A, Cherubini A, Jones C, Kehlet H, MacLullich A, Radtke F, Riese F, Slooter AJ, Veyckemans F, Kramer S, Neuner B, Weiss B, Spies CD. European Society of Anaesthesiology evidence-based and consensus-based guideline on postoperative delirium. *Eur J Anaesthesiol.* 2017;34(4):192–214. PMID 28187050. doi:10.1097/EJA.0000000000000594.</w:t>
      </w:r>
    </w:p>
    <w:p>
      <w:r>
        <w:t>31. Dai WB, Zhang X, Jiang XL, Zhang YZ, Chen LK, Tian WT, Zhou XX, Sun XY, Huang LL, Gu XY, Chen XM, Wu XD, Tian J, Yu WF, Shen L, Su DS. The kynurenine pathway regulated by intestinal innate lymphoid cells mediates postoperative cognitive dysfunction. *Mucosal Immunol.* 2025;18(1):53–65. PMID 39251184. doi:10.1016/j.mucimm.2024.09.002.</w:t>
      </w:r>
    </w:p>
    <w:p>
      <w:r>
        <w:t>32. Huang K, Lalagkas PN, Sultan B, Melamed R. Exploiting similarity in drug molecular effects for drug repurposing. *Hum Genomics.* 2025;19:110. PMID 41029350. PMCID PMC12487472. doi:10.1186/s40246-025-00808-8.</w:t>
      </w:r>
    </w:p>
    <w:p>
      <w:r>
        <w:t>33. Lee H, Lee C, Hong H, Yu H. Preoperative and early postoperative neutrophil-to-lymphocyte ratio for predicting delirium after laparoscopic gynecologic surgery in elderly women: a retrospective cohort study with an outcome-matched nested case-control analysis and internal validation. *Anesth Pain Med.* 2026;21(3):413–424. doi:10.17085/apm.25489.</w:t>
      </w:r>
    </w:p>
    <w:p>
      <w:r>
        <w:t>34. Shan L, Zheng K, Dai W, Wang Y, Hao P. Comparative analysis of inflammatory markers as predictive markers for postoperative delirium in cardiac surgery patients: an observational study. *Front Med (Lausanne).* 2025;12:1515940. PMID 40236455. doi:10.3389/fmed.2025.1515940.</w:t>
      </w:r>
    </w:p>
    <w:p>
      <w:r>
        <w:t>35. Cheng C, Wan H, Cong P, Huang X, Wu T, He M, Zhang Q, Xiong L, Tian L. Targeting neuroinflammation as a preventive and therapeutic approach for perioperative neurocognitive disorders. *J Neuroinflammation.* 2022;19(1):297. PMID 36503642. doi:10.1186/s12974-022-02656-y.</w:t>
      </w:r>
    </w:p>
    <w:p>
      <w:r>
        <w:t>36. Hirsch J, Vacas S, Terrando N, Yuan M, Sands LP, Kramer J, Bozic K, Maze MM, Leung JM. Perioperative cerebrospinal fluid and plasma inflammatory markers after orthopedic surgery. *J Neuroinflammation.* 2016;13(1):211. PMID 27577265. doi:10.1186/s12974-016-0681-9.</w:t>
      </w:r>
    </w:p>
    <w:p>
      <w:r>
        <w:t>37. Taylor J, Parker M, Casey CP, Tanabe S, Kunkel D, Rivera C, Zetterberg H, Blennow K, Pearce RA, Lennertz RC, Sanders RD. Postoperative delirium and changes in the blood-brain barrier, neuroinflammation, and cerebrospinal fluid lactate: a prospective cohort study. *Br J Anaesth.* 2022;129(2):219–230. PMID 35144802. PMCID PMC9465948. doi:10.1016/j.bja.2022.01.005.</w:t>
      </w:r>
    </w:p>
    <w:p>
      <w:r>
        <w:t>38. Wahba NE, Nishizawa Y, Marra PS, Yamanashi T, Crutchley KJ, Nagao T, Shibata K, Nishiguchi T, Cho H, Howard MA, Kawasaki H, Hefti M, Kanazawa T, Shinozaki G. Genome-wide DNA methylation analysis of post-operative delirium with brain, blood, saliva, and buccal samples from neurosurgery patients. *J Psychiatr Res.* 2022;156:245–251. PMID 36270064. doi:10.1016/j.jpsychires.2022.10.023.</w:t>
      </w:r>
    </w:p>
    <w:p>
      <w:r>
        <w:t>39. Paternò DS, Via L, Putaggio A, Piccolo A, Scibilia G, Lentini M, Maniaci A, Luca F, Giudice ECL, Sorbello M. Perioperative neurocognitive disorders: a narrative review of pathophysiology, prevention, and management strategies. *J Clin Med.* 2026;15(3):1253. doi:10.3390/jcm15031253.</w:t>
      </w:r>
    </w:p>
    <w:p>
      <w:r>
        <w:t>40. Qin M, Deng Y. Anesthesia-related factors in the pathogenesis of postoperative cognitive dysfunction: a mechanistic perspective. *Front Neurol.* 2026;16:1700911. doi:10.3389/fneur.2025.1700911.</w:t>
      </w:r>
    </w:p>
    <w:p>
      <w:r>
        <w:t>41. Evered L, Silbert B, Knopman DS, Scott DA, DeKosky ST, Rasmussen LS, Oh ES, Crosby G, Berger M, Eckenhoff RG; Nomenclature Consensus Working Group. Recommendations for the nomenclature of cognitive change associated with anaesthesia and surgery. *Anesthesiology.* 2018;129(5):872–879. doi:10.1097/ALN.0000000000002334. PMID 30325806.</w:t>
      </w:r>
    </w:p>
    <w:p>
      <w:r>
        <w:t>42. Cerejeira J, Firmino H, Vaz-Serra A, Mukaetova-Ladinska EB. The neuroinflammatory hypothesis of delirium. *Acta Neuropathol.* 2010;119(6):737–754. PMID 20490615. doi:10.1007/s00401-010-0674-1.</w:t>
      </w:r>
    </w:p>
    <w:p>
      <w:r>
        <w:t>43. Cunningham C, Maclullich AMJ. At the extreme end of the psychoneuroimmunological spectrum: delirium as a maladaptive response to acute stress. *Brain Behav Immun.* 2013;28:1–5. PMID 23088936. doi:10.1016/j.bbi.2012.10.005.</w:t>
      </w:r>
    </w:p>
    <w:p>
      <w:r>
        <w:t>44. Inouye SK, Westendorp RGJ, Saczynski JS. Delirium in elderly people. *Lancet.* 2014;383(9920):911–922. PMID 24560607. doi:10.1016/S0140-6736(13)60688-1.</w:t>
      </w:r>
    </w:p>
    <w:p>
      <w:r>
        <w:t>45. Terrando N, Yang T, Wang X, Fang J, Cao M, Andersson U, Erlandsson-Harris H, Ouyang W, Tong J. Systemic HMGB1 neutralization prevents postoperative neurocognitive dysfunction in aged rats. *Front Immunol.* 2016;7:441. PMID 27822212. doi:10.3389/fimmu.2016.00441.</w:t>
      </w:r>
    </w:p>
    <w:p>
      <w:r>
        <w:t>---</w:t>
      </w:r>
    </w:p>
    <w:p>
      <w:r>
        <w:t xml:space="preserve">*Manuscript version 1.2 (Round-8 revision, 2026-09-23) — multi-omics + in-silico repositioning. (Version note: the Zenodo deposit cited below is frozen at v1.0.0 and does </w:t>
      </w:r>
      <w:r>
        <w:rPr>
          <w:b/>
        </w:rPr>
        <w:t>not</w:t>
      </w:r>
      <w:r>
        <w:t xml:space="preserve"> yet contain the five Round-7/Round-8 provenance artefacts; the live code/results in the GitHub repository `yyx-4113/pod-immune-hub-repositioning` are the authoritative source for every number reported here, and a v1.1.0 deposit will be cut before submission.) All quantitative claims trace to analysis artefacts under `pod-epigenetic-immune-repositioning/analysis/results/GSE330869/` (Layer A: `layerA_topDMP.csv`, `layerA_core_snapshot.txt`, `layerA_summary.txt`, `layerA_results.rds`; immune-gene DMR provenance: `bumphunter_DMR_{unadjusted,adj_dNeu,adj_dNeu_Eos_Baso}_immune_overlap.csv`). Target journal: Journal of Neuroinflammation (2025 JCR JIF 11.5, Q1, SCIE, open access; scope includes peripheral immune–nervous system interactions). Journal metrics verified 2026-09-20 via Springer Nature and Clarivate JCR listings. Layer A was recomputed in-house (R/Bioconductor, EPIC v2, 312,514 autosomal gene-mapped probes, 65 paired POD cases) on 2026-09-21.*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