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Availability Statement</w:t>
      </w:r>
    </w:p>
    <w:p>
      <w:r>
        <w:t>All code, processed knowledge graph adjacency matrices, graph files (GraphML, CSV, Python pickle), benchmark results, and comprehensive documentation are publicly available at https://github.com/yyx-4113/ra-painkg under the MIT license.</w:t>
      </w:r>
    </w:p>
    <w:p>
      <w:r>
        <w:t>The Norman et al. Perturb-seq dataset is available from Harvard Dataverse (DOI: 10.7910/DVN/R9JDLS). PrimeKG v1.0 is available from Harvard Dataverse (DOI: 10.7910/DVN/IXA7BM). Gene Ontology annotations are from the Gene Ontology Consortium (http://geneontology.org/). GTEx v8 tissue expression data are from the GTEx Consortium (https://gtexportal.org/).</w:t>
      </w:r>
    </w:p>
    <w:p>
      <w:r>
        <w:t>No new data were generated for this study. All analyses use publicly available data as described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