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pPr>
        <w:pStyle w:val="FirstParagraph"/>
      </w:pPr>
      <w:r>
        <w:rPr>
          <w:b/>
          <w:bCs/>
        </w:rPr>
        <w:t xml:space="preserve">Yongxin Yang</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Yongxin Yang, 960856791@qq.com</w:t>
      </w:r>
    </w:p>
    <w:p>
      <w:r>
        <w:pict>
          <v:rect style="width:0;height:1.5pt" o:hralign="center" o:hrstd="t" o:hr="t"/>
        </w:pict>
      </w:r>
    </w:p>
    <w:bookmarkEnd w:id="20"/>
    <w:bookmarkStart w:id="21"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I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15 functional gene categories spanning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Rheumatoid arthritis (RA) affects approximately 0.5-1.0% of the adult population worldwide,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while DisGeNET [17] provides gene-disease associations, but these resources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I present RA-PainKG, a tissue-contextualized dual-track knowledge graph constructed by integrating PrimeKG v1.0 [13] with GTEx v8 tissue expression data [16] and manual curation of 15 functional gene categories spanning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of which 106 were assigned to Track A (immune-inflammation), 122 to Track B (nociception-pain transduction, 96 overlapping between tracks), and 33 to neither track (expansion-discovered genes without clear pain functional assignment).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15 functional gene categories spanning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2"/>
    <w:bookmarkStart w:id="29" w:name="materials-and-methods"/>
    <w:p>
      <w:pPr>
        <w:pStyle w:val="Heading2"/>
      </w:pPr>
      <w:r>
        <w:t xml:space="preserve">2. Materials and Methods</w:t>
      </w:r>
    </w:p>
    <w:bookmarkStart w:id="23" w:name="knowledge-graph-construction"/>
    <w:p>
      <w:pPr>
        <w:pStyle w:val="Heading3"/>
      </w:pPr>
      <w:r>
        <w:t xml:space="preserve">2.1 Knowledge Graph Construction</w:t>
      </w:r>
    </w:p>
    <w:p>
      <w:pPr>
        <w:pStyle w:val="FirstParagraph"/>
      </w:pPr>
      <w:r>
        <w:t xml:space="preserve">RA-PainKG was constructed in three stages (detailed below in Sections 2.2-2.3).</w:t>
      </w:r>
    </w:p>
    <w:bookmarkEnd w:id="23"/>
    <w:bookmarkStart w:id="24"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following standard GTEx expression thresholds [16].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4"/>
    <w:bookmarkStart w:id="25"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5"/>
    <w:bookmarkStart w:id="26"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6"/>
    <w:bookmarkStart w:id="27" w:name="benchmark-validation-methods"/>
    <w:p>
      <w:pPr>
        <w:pStyle w:val="Heading3"/>
      </w:pPr>
      <w:r>
        <w:t xml:space="preserve">2.5 Benchmark Validation Methods</w:t>
      </w:r>
    </w:p>
    <w:p>
      <w:pPr>
        <w:pStyle w:val="FirstParagraph"/>
      </w:pPr>
      <w:r>
        <w:t xml:space="preserve">For validation, 128-dimensional gene embeddings were computed via spectral decomposition of the normalized graph Laplacian (k = 128) for each KG. Perturbation effects were predicted via ridge regression (lambda = 0.1) across 10 independent train/test splits (80%/20%). This linear architecture isolates KG contribution from model capacity. Paired t-tests with Bonferroni correction (alpha = 0.01, m = 5) and Kendall’s W ranking consistency were used for statistical comparison. Sensitivity analyses for regularization (alpha = 0.001–100.0) and embedding dimension (k = 32–512) confirmed robustness. K562 pain gene expression was quantified per-gene for all 44 pain-annotated genes (mean expression, percent expressing cells). Complete methods, including spectral decomposition details, nonlinear model comparison (MLP vs ridge), GEARS architecture comparison [21], evaluation protocol, and power analysis, are provided in Supplementary Methods.</w:t>
      </w:r>
    </w:p>
    <w:bookmarkEnd w:id="27"/>
    <w:bookmarkStart w:id="28" w:name="implementation"/>
    <w:p>
      <w:pPr>
        <w:pStyle w:val="Heading3"/>
      </w:pPr>
      <w:r>
        <w:t xml:space="preserve">2.6 Implementation</w:t>
      </w:r>
    </w:p>
    <w:p>
      <w:pPr>
        <w:pStyle w:val="FirstParagraph"/>
      </w:pPr>
      <w:r>
        <w:t xml:space="preserve">Python 3.10+, ScanPy 1.12, NetworkX 3.6, NumPy, SciPy, scikit-learn. Total compute time: approximately 12 minutes (Intel i9-13900K, 64 GB RAM). Full pipeline and processed data at https://github.com/yyx-4113/ra-painkg.</w:t>
      </w:r>
    </w:p>
    <w:bookmarkEnd w:id="28"/>
    <w:bookmarkEnd w:id="29"/>
    <w:bookmarkStart w:id="33" w:name="results"/>
    <w:p>
      <w:pPr>
        <w:pStyle w:val="Heading2"/>
      </w:pPr>
      <w:r>
        <w:t xml:space="preserve">3. Results</w:t>
      </w:r>
    </w:p>
    <w:bookmarkStart w:id="30"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30"/>
    <w:bookmarkStart w:id="31"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have zero PPI edges (i.e., are graph-theoretically isolated in the PPI subgraph),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1"/>
    <w:bookmarkStart w:id="32"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2"/>
    <w:bookmarkEnd w:id="33"/>
    <w:bookmarkStart w:id="40" w:name="discussion"/>
    <w:p>
      <w:pPr>
        <w:pStyle w:val="Heading2"/>
      </w:pPr>
      <w:r>
        <w:t xml:space="preserve">4. Discussion</w:t>
      </w:r>
    </w:p>
    <w:bookmarkStart w:id="34"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4"/>
    <w:bookmarkStart w:id="35"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to our knowledge, rarely implemented in published biomedical knowledge graphs. While resources such as the IUPHAR/BPS Guide to Pharmacology [14] acknowledge incomplete coverage in narrative form, systematic per-gene gap documentation with categorized absence reasons has few precedents. We suggest this practice represents a methodological contribution for transparent resource development.</w:t>
      </w:r>
    </w:p>
    <w:bookmarkEnd w:id="35"/>
    <w:bookmarkStart w:id="36"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most extensively characterized publicly available genome-scale Perturb-seq dataset with sufficient perturbation diversity for multi-split benchmarking at the time of analysis.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6"/>
    <w:bookmarkStart w:id="37"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bookmarkEnd w:id="37"/>
    <w:bookmarkStart w:id="38"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38"/>
    <w:bookmarkStart w:id="39"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w:t>
      </w:r>
    </w:p>
    <w:p>
      <w:pPr>
        <w:pStyle w:val="BodyText"/>
      </w:pPr>
      <w:r>
        <w:t xml:space="preserve">Transparent benchmark validation establishes honest boundary conditions for downstream applications,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39"/>
    <w:bookmarkEnd w:id="40"/>
    <w:bookmarkStart w:id="46"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w:t>
      </w:r>
      <w:r>
        <w:t xml:space="preserve"> </w:t>
      </w:r>
      <w:r>
        <w:rPr>
          <w:rStyle w:val="VerbatimChar"/>
        </w:rPr>
        <w:t xml:space="preserve">RA_PainKG_final.pkl</w:t>
      </w:r>
      <w:r>
        <w:t xml:space="preserve"> </w:t>
      </w:r>
      <w:r>
        <w:t xml:space="preserve">from</w:t>
      </w:r>
      <w:r>
        <w:t xml:space="preserve"> </w:t>
      </w:r>
      <w:hyperlink r:id="rId41">
        <w:r>
          <w:rPr>
            <w:rStyle w:val="Hyperlink"/>
          </w:rPr>
          <w:t xml:space="preserve">https://github.com/yyx-4113/ra-painkg</w:t>
        </w:r>
      </w:hyperlink>
      <w:r>
        <w:t xml:space="preserve"> </w:t>
      </w:r>
      <w:r>
        <w:t xml:space="preserve">(see</w:t>
      </w:r>
      <w:r>
        <w:t xml:space="preserve"> </w:t>
      </w:r>
      <w:r>
        <w:rPr>
          <w:rStyle w:val="VerbatimChar"/>
        </w:rPr>
        <w:t xml:space="preserve">output/</w:t>
      </w:r>
      <w:r>
        <w:t xml:space="preserve"> </w:t>
      </w:r>
      <w:r>
        <w:t xml:space="preserve">directory)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2"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2"/>
    <w:bookmarkStart w:id="43"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3"/>
    <w:bookmarkStart w:id="44"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NormalTok"/>
        </w:rPr>
        <w:t xml:space="preserve">track_b_expr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track_b_expr.append({</w:t>
      </w:r>
      <w:r>
        <w:br/>
      </w:r>
      <w:r>
        <w:rPr>
          <w:rStyle w:val="NormalTok"/>
        </w:rPr>
        <w:t xml:space="preserve">            </w:t>
      </w:r>
      <w:r>
        <w:rPr>
          <w:rStyle w:val="StringTok"/>
        </w:rPr>
        <w:t xml:space="preserve">"gene"</w:t>
      </w:r>
      <w:r>
        <w:rPr>
          <w:rStyle w:val="NormalTok"/>
        </w:rPr>
        <w:t xml:space="preserve">: gene,</w:t>
      </w:r>
      <w:r>
        <w:br/>
      </w:r>
      <w:r>
        <w:rPr>
          <w:rStyle w:val="NormalTok"/>
        </w:rPr>
        <w:t xml:space="preserve">            </w:t>
      </w:r>
      <w:r>
        <w:rPr>
          <w:rStyle w:val="StringTok"/>
        </w:rPr>
        <w:t xml:space="preserve">"spinal"</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tringTok"/>
        </w:rPr>
        <w:t xml:space="preserve">"tibial"</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br/>
      </w:r>
      <w:r>
        <w:rPr>
          <w:rStyle w:val="CommentTok"/>
        </w:rPr>
        <w:t xml:space="preserve"># Display first 5 Track B genes</w:t>
      </w:r>
      <w:r>
        <w:br/>
      </w:r>
      <w:r>
        <w:rPr>
          <w:rStyle w:val="ControlFlowTok"/>
        </w:rPr>
        <w:t xml:space="preserve">for</w:t>
      </w:r>
      <w:r>
        <w:rPr>
          <w:rStyle w:val="NormalTok"/>
        </w:rPr>
        <w:t xml:space="preserve"> item </w:t>
      </w:r>
      <w:r>
        <w:rPr>
          <w:rStyle w:val="KeywordTok"/>
        </w:rPr>
        <w:t xml:space="preserve">in</w:t>
      </w:r>
      <w:r>
        <w:rPr>
          <w:rStyle w:val="NormalTok"/>
        </w:rPr>
        <w:t xml:space="preserve"> track_b_expr[:</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item[</w:t>
      </w:r>
      <w:r>
        <w:rPr>
          <w:rStyle w:val="StringTok"/>
        </w:rPr>
        <w:t xml:space="preserve">'gene'</w:t>
      </w:r>
      <w:r>
        <w:rPr>
          <w:rStyle w:val="NormalTok"/>
        </w:rPr>
        <w:t xml:space="preserve">]</w:t>
      </w:r>
      <w:r>
        <w:rPr>
          <w:rStyle w:val="SpecialCharTok"/>
        </w:rPr>
        <w:t xml:space="preserve">}</w:t>
      </w:r>
      <w:r>
        <w:rPr>
          <w:rStyle w:val="SpecialStringTok"/>
        </w:rPr>
        <w:t xml:space="preserve">: Spinal=</w:t>
      </w:r>
      <w:r>
        <w:rPr>
          <w:rStyle w:val="SpecialCharTok"/>
        </w:rPr>
        <w:t xml:space="preserve">{</w:t>
      </w:r>
      <w:r>
        <w:rPr>
          <w:rStyle w:val="NormalTok"/>
        </w:rPr>
        <w:t xml:space="preserve">item[</w:t>
      </w:r>
      <w:r>
        <w:rPr>
          <w:rStyle w:val="StringTok"/>
        </w:rPr>
        <w:t xml:space="preserve">'spinal'</w:t>
      </w:r>
      <w:r>
        <w:rPr>
          <w:rStyle w:val="NormalTok"/>
        </w:rPr>
        <w:t xml:space="preserve">]</w:t>
      </w:r>
      <w:r>
        <w:rPr>
          <w:rStyle w:val="SpecialCharTok"/>
        </w:rPr>
        <w:t xml:space="preserve">}</w:t>
      </w:r>
      <w:r>
        <w:rPr>
          <w:rStyle w:val="SpecialStringTok"/>
        </w:rPr>
        <w:t xml:space="preserve">, Tibial=</w:t>
      </w:r>
      <w:r>
        <w:rPr>
          <w:rStyle w:val="SpecialCharTok"/>
        </w:rPr>
        <w:t xml:space="preserve">{</w:t>
      </w:r>
      <w:r>
        <w:rPr>
          <w:rStyle w:val="NormalTok"/>
        </w:rPr>
        <w:t xml:space="preserve">item[</w:t>
      </w:r>
      <w:r>
        <w:rPr>
          <w:rStyle w:val="StringTok"/>
        </w:rPr>
        <w:t xml:space="preserve">'tibial'</w:t>
      </w:r>
      <w:r>
        <w:rPr>
          <w:rStyle w:val="NormalTok"/>
        </w:rPr>
        <w:t xml:space="preserve">]</w:t>
      </w:r>
      <w:r>
        <w:rPr>
          <w:rStyle w:val="SpecialCharTok"/>
        </w:rPr>
        <w:t xml:space="preserve">}</w:t>
      </w:r>
      <w:r>
        <w:rPr>
          <w:rStyle w:val="SpecialStringTok"/>
        </w:rPr>
        <w:t xml:space="preserve">"</w:t>
      </w:r>
      <w:r>
        <w:rPr>
          <w:rStyle w:val="NormalTok"/>
        </w:rPr>
        <w:t xml:space="preserve">)</w:t>
      </w:r>
    </w:p>
    <w:bookmarkEnd w:id="44"/>
    <w:bookmarkStart w:id="45"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5"/>
    <w:bookmarkEnd w:id="46"/>
    <w:bookmarkStart w:id="47" w:name="supplementary-materials"/>
    <w:p>
      <w:pPr>
        <w:pStyle w:val="Heading2"/>
      </w:pPr>
      <w:r>
        <w:t xml:space="preserve">Supplementary Materials</w:t>
      </w:r>
    </w:p>
    <w:p>
      <w:pPr>
        <w:pStyle w:val="Compact"/>
        <w:numPr>
          <w:ilvl w:val="0"/>
          <w:numId w:val="1001"/>
        </w:numPr>
      </w:pPr>
      <w:r>
        <w:rPr>
          <w:b/>
          <w:bCs/>
        </w:rPr>
        <w:t xml:space="preserve">Table S1:</w:t>
      </w:r>
      <w:r>
        <w:t xml:space="preserve"> </w:t>
      </w:r>
      <w:r>
        <w:t xml:space="preserve">Complete 165-gene pain gene list with functional categories, PrimeKG match status, and track assignments</w:t>
      </w:r>
    </w:p>
    <w:p>
      <w:pPr>
        <w:pStyle w:val="Compact"/>
        <w:numPr>
          <w:ilvl w:val="0"/>
          <w:numId w:val="1001"/>
        </w:numPr>
      </w:pPr>
      <w:r>
        <w:rPr>
          <w:b/>
          <w:bCs/>
        </w:rPr>
        <w:t xml:space="preserve">Table S2:</w:t>
      </w:r>
      <w:r>
        <w:t xml:space="preserve"> </w:t>
      </w:r>
      <w:r>
        <w:t xml:space="preserve">Full edge relation type distribution (all 24 types)</w:t>
      </w:r>
    </w:p>
    <w:p>
      <w:pPr>
        <w:pStyle w:val="Compact"/>
        <w:numPr>
          <w:ilvl w:val="0"/>
          <w:numId w:val="1001"/>
        </w:numPr>
      </w:pPr>
      <w:r>
        <w:rPr>
          <w:b/>
          <w:bCs/>
        </w:rPr>
        <w:t xml:space="preserve">Table S3:</w:t>
      </w:r>
      <w:r>
        <w:t xml:space="preserve"> </w:t>
      </w:r>
      <w:r>
        <w:t xml:space="preserve">Coverage-gap analysis: 72 genes absent from PrimeKG with functional categories and suggested alternative identifiers</w:t>
      </w:r>
    </w:p>
    <w:p>
      <w:pPr>
        <w:pStyle w:val="Compact"/>
        <w:numPr>
          <w:ilvl w:val="0"/>
          <w:numId w:val="1001"/>
        </w:numPr>
      </w:pPr>
      <w:r>
        <w:rPr>
          <w:b/>
          <w:bCs/>
        </w:rPr>
        <w:t xml:space="preserve">Table S4:</w:t>
      </w:r>
      <w:r>
        <w:t xml:space="preserve"> </w:t>
      </w:r>
      <w:r>
        <w:t xml:space="preserve">Multi-split benchmark results for all 11 KG variants</w:t>
      </w:r>
    </w:p>
    <w:p>
      <w:pPr>
        <w:pStyle w:val="Compact"/>
        <w:numPr>
          <w:ilvl w:val="0"/>
          <w:numId w:val="1001"/>
        </w:numPr>
      </w:pPr>
      <w:r>
        <w:rPr>
          <w:b/>
          <w:bCs/>
        </w:rPr>
        <w:t xml:space="preserve">Table S5:</w:t>
      </w:r>
      <w:r>
        <w:t xml:space="preserve"> </w:t>
      </w:r>
      <w:r>
        <w:t xml:space="preserve">Paired statistical comparisons with delta-r confidence intervals</w:t>
      </w:r>
    </w:p>
    <w:p>
      <w:pPr>
        <w:pStyle w:val="Compact"/>
        <w:numPr>
          <w:ilvl w:val="0"/>
          <w:numId w:val="1001"/>
        </w:numPr>
      </w:pPr>
      <w:r>
        <w:rPr>
          <w:b/>
          <w:bCs/>
        </w:rPr>
        <w:t xml:space="preserve">Table S6:</w:t>
      </w:r>
      <w:r>
        <w:t xml:space="preserve"> </w:t>
      </w:r>
      <w:r>
        <w:t xml:space="preserve">KG variant structural characteristics</w:t>
      </w:r>
    </w:p>
    <w:p>
      <w:pPr>
        <w:pStyle w:val="Compact"/>
        <w:numPr>
          <w:ilvl w:val="0"/>
          <w:numId w:val="1001"/>
        </w:numPr>
      </w:pPr>
      <w:r>
        <w:rPr>
          <w:b/>
          <w:bCs/>
        </w:rPr>
        <w:t xml:space="preserve">Supplementary Methods:</w:t>
      </w:r>
      <w:r>
        <w:t xml:space="preserve"> </w:t>
      </w:r>
      <w:r>
        <w:t xml:space="preserve">Spectral decomposition details, nonlinear model comparison (MLP vs ridge), GEARS architecture comparison, evaluation protocol, power analysis</w:t>
      </w:r>
    </w:p>
    <w:p>
      <w:pPr>
        <w:pStyle w:val="Compact"/>
        <w:numPr>
          <w:ilvl w:val="0"/>
          <w:numId w:val="1001"/>
        </w:numPr>
      </w:pPr>
      <w:r>
        <w:rPr>
          <w:b/>
          <w:bCs/>
        </w:rPr>
        <w:t xml:space="preserve">Figure S1-S6:</w:t>
      </w:r>
      <w:r>
        <w:t xml:space="preserve"> </w:t>
      </w:r>
      <w:r>
        <w:t xml:space="preserve">Supplementary figures (degree distribution, track comparison, composition, core network, pathway subnetworks)</w:t>
      </w:r>
    </w:p>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n = 106 genes) and Track B (nociception-pain transduction, n = 122 genes) gene subsets. Betweenness, degree, closeness, and eigenvector centrality are shown as violin plots. Track B genes show systematically lower centrality across all metrics, consistent with their sparser representation in PrimeKG.</w:t>
      </w:r>
    </w:p>
    <w:p>
      <w:pPr>
        <w:pStyle w:val="BodyText"/>
      </w:pPr>
      <w:r>
        <w:rPr>
          <w:b/>
          <w:bCs/>
        </w:rPr>
        <w:t xml:space="preserve">Figure 4.</w:t>
      </w:r>
      <w:r>
        <w:t xml:space="preserve"> </w:t>
      </w:r>
      <w:r>
        <w:t xml:space="preserve">Node type composition (pie chart, 10 entity types) and edge relat</w:t>
      </w:r>
    </w:p>
    <w:bookmarkEnd w:id="48"/>
    <w:bookmarkStart w:id="49"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9"/>
    <w:bookmarkStart w:id="50"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0"/>
    <w:bookmarkStart w:id="51"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3"/>
    <w:bookmarkStart w:id="54"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github.com/yyx-4113/ra-painkg"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yyx-4113/ra-paink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2026-07-17T19:10:04Z</dcterms:created>
  <dcterms:modified xsi:type="dcterms:W3CDTF">2026-07-17T19:10:04Z</dcterms:modified>
</cp:coreProperties>
</file>

<file path=docProps/custom.xml><?xml version="1.0" encoding="utf-8"?>
<Properties xmlns="http://schemas.openxmlformats.org/officeDocument/2006/custom-properties" xmlns:vt="http://schemas.openxmlformats.org/officeDocument/2006/docPropsVTypes"/>
</file>