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r>
        <w:pict>
          <v:rect style="width:0;height:1.5pt" o:hralign="center" o:hrstd="t" o:hr="t"/>
        </w:pict>
      </w:r>
    </w:p>
    <w:bookmarkEnd w:id="20"/>
    <w:bookmarkStart w:id="21" w:name="abstract"/>
    <w:p>
      <w:pPr>
        <w:pStyle w:val="Heading2"/>
      </w:pPr>
      <w:r>
        <w:t xml:space="preserve">Abstract</w:t>
      </w:r>
    </w:p>
    <w:p>
      <w:pPr>
        <w:pStyle w:val="FirstParagraph"/>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We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15 functional gene categories spanning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Rheumatoid arthritis (RA) affects approximately 0.5-1.0% of the adult population worldwide,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while DisGeNET [17] provides gene-disease associations, but these resources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We present RA-PainKG, a tissue-contextualized dual-track knowledge graph constructed by integrating PrimeKG v1.0 [13] with GTEx v8 tissue expression data [16] and manual curation of 15 functional gene categories spanning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of which 106 were assigned to Track A (immune-inflammation), 122 to Track B (nociception-pain transduction, 96 overlapping between tracks), and 33 to neither track (expansion-discovered genes without clear pain functional assignment).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15 functional gene categories spanning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2"/>
    <w:bookmarkStart w:id="29" w:name="materials-and-methods"/>
    <w:p>
      <w:pPr>
        <w:pStyle w:val="Heading2"/>
      </w:pPr>
      <w:r>
        <w:t xml:space="preserve">2. Materials and Methods</w:t>
      </w:r>
    </w:p>
    <w:bookmarkStart w:id="23" w:name="knowledge-graph-construction"/>
    <w:p>
      <w:pPr>
        <w:pStyle w:val="Heading3"/>
      </w:pPr>
      <w:r>
        <w:t xml:space="preserve">2.1 Knowledge Graph Construction</w:t>
      </w:r>
    </w:p>
    <w:p>
      <w:pPr>
        <w:pStyle w:val="FirstParagraph"/>
      </w:pPr>
      <w:r>
        <w:t xml:space="preserve">RA-PainKG was constructed in three stages (detailed below in Sections 2.2-2.3).</w:t>
      </w:r>
    </w:p>
    <w:bookmarkEnd w:id="23"/>
    <w:bookmarkStart w:id="24"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following standard GTEx expression thresholds [16].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4"/>
    <w:bookmarkStart w:id="25"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5"/>
    <w:bookmarkStart w:id="26"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6"/>
    <w:bookmarkStart w:id="27" w:name="benchmark-validation-methods"/>
    <w:p>
      <w:pPr>
        <w:pStyle w:val="Heading3"/>
      </w:pPr>
      <w:r>
        <w:t xml:space="preserve">2.5 Benchmark Validation Methods</w:t>
      </w:r>
    </w:p>
    <w:p>
      <w:pPr>
        <w:pStyle w:val="FirstParagraph"/>
      </w:pPr>
      <w:r>
        <w:t xml:space="preserve">For validation, 128-dimensional gene embeddings were computed via spectral decomposition of the normalized graph Laplacian (k = 128) for each KG. Perturbation effects were predicted via ridge regression (lambda = 0.1) across 10 independent train/test splits (80%/20%). This linear architecture isolates KG contribution from model capacity. Paired t-tests with Bonferroni correction (alpha = 0.01, m = 5) and Kendall’s W ranking consistency were used for statistical comparison. Sensitivity analyses for regularization (alpha = 0.001–100.0) and embedding dimension (k = 32–512) confirmed robustness. K562 pain gene expression was quantified per-gene for all 44 pain-annotated genes (mean expression, percent expressing cells). Complete methods, including spectral decomposition details, nonlinear model comparison (MLP vs ridge), GEARS architecture comparison [21], evaluation protocol, and power analysis, are provided in Supplementary Methods.</w:t>
      </w:r>
    </w:p>
    <w:bookmarkEnd w:id="27"/>
    <w:bookmarkStart w:id="28" w:name="implementation"/>
    <w:p>
      <w:pPr>
        <w:pStyle w:val="Heading3"/>
      </w:pPr>
      <w:r>
        <w:t xml:space="preserve">2.6 Implementation</w:t>
      </w:r>
    </w:p>
    <w:p>
      <w:pPr>
        <w:pStyle w:val="FirstParagraph"/>
      </w:pPr>
      <w:r>
        <w:t xml:space="preserve">Python 3.10+, ScanPy 1.12, NetworkX 3.6, NumPy, SciPy, scikit-learn. Total compute time: approximately 12 minutes (Intel i9-13900K, 64 GB RAM). Full pipeline and processed data at https://github.com/yyx-4113/ra-painkg.</w:t>
      </w:r>
    </w:p>
    <w:bookmarkEnd w:id="28"/>
    <w:bookmarkEnd w:id="29"/>
    <w:bookmarkStart w:id="33" w:name="results"/>
    <w:p>
      <w:pPr>
        <w:pStyle w:val="Heading2"/>
      </w:pPr>
      <w:r>
        <w:t xml:space="preserve">3. Results</w:t>
      </w:r>
    </w:p>
    <w:bookmarkStart w:id="30"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165 annotated genes span 15 functional categories (TRP channels, voltage-gated sodium channels, neurotrophin signaling, opioid signaling, MAPK pathway, JAK-STAT pathway, prostaglandin pathway, kinase signaling, transcription factors, serotonin receptors, endocannabinoid system, complement cascade, GABA/glycine receptors, RA-specific genes, and anesthetic targets; complete list in Supplementary Table S1). The 165 annotated genes span 15 functional categories (TRP channels, voltage-gated sodium channels, neurotrophin signaling, opioid signaling, MAPK pathway, JAK-STAT pathway, prostaglandin pathway, kinase signaling, transcription factors, serotonin receptors, endocannabinoid system, complement cascade, GABA/glycine receptors, RA-specific genes, and anesthetic targets; complete list in Supplementary Table S1). The dual-track organization is summarized in Table S1: Track A (immune-inflammation, 106 genes) and Track B (nociception-pain transduction, 122 genes), with 96 genes (58.2%) spanning both tracks.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serves as a conceptual lens for hypothesis generation: genes exclusive to Track A or B may represent intervention points where anti-inflammatory and analgesic effects can be partially decoupled, while dual-track hub genes represent convergence points where both processes are jointly regulated.</w:t>
      </w:r>
    </w:p>
    <w:bookmarkEnd w:id="30"/>
    <w:bookmarkStart w:id="31"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have zero PPI edges (i.e., are graph-theoretically isolated in the PPI subgraph),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1"/>
    <w:bookmarkStart w:id="32"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2"/>
    <w:bookmarkEnd w:id="33"/>
    <w:bookmarkStart w:id="40" w:name="discussion"/>
    <w:p>
      <w:pPr>
        <w:pStyle w:val="Heading2"/>
      </w:pPr>
      <w:r>
        <w:t xml:space="preserve">4. Discussion</w:t>
      </w:r>
    </w:p>
    <w:bookmarkStart w:id="34"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2).</w:t>
      </w:r>
    </w:p>
    <w:p>
      <w:pPr>
        <w:pStyle w:val="BodyText"/>
      </w:pPr>
      <w:r>
        <w:rPr>
          <w:b/>
          <w:bCs/>
        </w:rPr>
        <w:t xml:space="preserve">Table 2.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Coverage percentages for comparator resources (IUPHAR Pain, DisGeNET) were computed by querying each resource for the same 192-gene curated set by gene symbol, following each resource’s standard query interface. See Supplementary Methods for query details.</w:t>
      </w:r>
    </w:p>
    <w:p>
      <w:pPr>
        <w:pStyle w:val="BodyText"/>
      </w:pPr>
      <w:r>
        <w:t xml:space="preserve">Coverage percentages for comparator resources (IUPHAR Pain, DisGeNET) were computed by querying each resource for the same 192-gene curated set by gene symbol, following each resource’s standard query interface. See Supplementary Methods for query details.</w:t>
      </w:r>
    </w:p>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across 54 human tissues. Second, as a hypothesis-generation tool: the dual-track framework enables systematic comparison of inflammatory versus nociceptive mechanisms, and bridge genes (STAT3, RELA, NF-kappaB complex) connecting both tracks represent candidate intervention points. Third, as structured prior knowledge for machine learning: the graph provides domain-specific features for gene perturbation prediction, drug repurposing pipelines, and causal mediator identification. Transparent benchmark validation (Section 4.3) establishes the boundary conditions under which each use case applies.</w:t>
      </w:r>
    </w:p>
    <w:bookmarkEnd w:id="34"/>
    <w:bookmarkStart w:id="35"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to our knowledge, rarely implemented in published biomedical knowledge graphs. While resources such as the IUPHAR/BPS Guide to Pharmacology [14] acknowledge incomplete coverage in narrative form, systematic per-gene gap documentation with categorized absence reasons has few precedents. We suggest this practice represents a methodological contribution for transparent resource development.</w:t>
      </w:r>
    </w:p>
    <w:bookmarkEnd w:id="35"/>
    <w:bookmarkStart w:id="36"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most extensively characterized publicly available genome-scale Perturb-seq dataset with sufficient perturbation diversity for multi-split benchmarking at the time of analysis.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36"/>
    <w:bookmarkStart w:id="37"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bookmarkEnd w:id="37"/>
    <w:bookmarkStart w:id="38"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38"/>
    <w:bookmarkStart w:id="39"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w:t>
      </w:r>
    </w:p>
    <w:p>
      <w:pPr>
        <w:pStyle w:val="BodyText"/>
      </w:pPr>
      <w:r>
        <w:t xml:space="preserve">Transparent benchmark validation establishes honest boundary conditions for downstream applications,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39"/>
    <w:bookmarkEnd w:id="40"/>
    <w:bookmarkStart w:id="46" w:name="usage-examples"/>
    <w:p>
      <w:pPr>
        <w:pStyle w:val="Heading2"/>
      </w:pPr>
      <w:r>
        <w:t xml:space="preserve">5. Usage Examples</w:t>
      </w:r>
    </w:p>
    <w:p>
      <w:pPr>
        <w:pStyle w:val="FirstParagraph"/>
      </w:pPr>
      <w:r>
        <w:t xml:space="preserve">RA-PainKG is designed for programmatic access via Python (NetworkX). Below are four representative use cases. All code is available in the GitHub repository.</w:t>
      </w:r>
    </w:p>
    <w:p>
      <w:pPr>
        <w:pStyle w:val="BodyText"/>
      </w:pPr>
      <w:r>
        <w:rPr>
          <w:b/>
          <w:bCs/>
        </w:rPr>
        <w:t xml:space="preserve">Setup.</w:t>
      </w:r>
      <w:r>
        <w:t xml:space="preserve"> </w:t>
      </w:r>
      <w:r>
        <w:t xml:space="preserve">Download</w:t>
      </w:r>
      <w:r>
        <w:t xml:space="preserve"> </w:t>
      </w:r>
      <w:r>
        <w:rPr>
          <w:rStyle w:val="VerbatimChar"/>
        </w:rPr>
        <w:t xml:space="preserve">RA_PainKG_final.pkl</w:t>
      </w:r>
      <w:r>
        <w:t xml:space="preserve"> </w:t>
      </w:r>
      <w:r>
        <w:t xml:space="preserve">from</w:t>
      </w:r>
      <w:r>
        <w:t xml:space="preserve"> </w:t>
      </w:r>
      <w:hyperlink r:id="rId41">
        <w:r>
          <w:rPr>
            <w:rStyle w:val="Hyperlink"/>
          </w:rPr>
          <w:t xml:space="preserve">https://github.com/yyx-4113/ra-painkg</w:t>
        </w:r>
      </w:hyperlink>
      <w:r>
        <w:t xml:space="preserve"> </w:t>
      </w:r>
      <w:r>
        <w:t xml:space="preserve">(see</w:t>
      </w:r>
      <w:r>
        <w:t xml:space="preserve"> </w:t>
      </w:r>
      <w:r>
        <w:rPr>
          <w:rStyle w:val="VerbatimChar"/>
        </w:rPr>
        <w:t xml:space="preserve">output/</w:t>
      </w:r>
      <w:r>
        <w:t xml:space="preserve"> </w:t>
      </w:r>
      <w:r>
        <w:t xml:space="preserve">directory) and place it in your working directory:</w:t>
      </w:r>
    </w:p>
    <w:p>
      <w:pPr>
        <w:pStyle w:val="SourceCode"/>
      </w:pPr>
      <w:r>
        <w:rPr>
          <w:rStyle w:val="ImportTok"/>
        </w:rPr>
        <w:t xml:space="preserve">import</w:t>
      </w:r>
      <w:r>
        <w:rPr>
          <w:rStyle w:val="NormalTok"/>
        </w:rPr>
        <w:t xml:space="preserve"> pickle</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p>
    <w:p>
      <w:pPr>
        <w:pStyle w:val="FirstParagraph"/>
      </w:pPr>
      <w:r>
        <w:t xml:space="preserve">All subsequent examples assume</w:t>
      </w:r>
      <w:r>
        <w:t xml:space="preserve"> </w:t>
      </w:r>
      <w:r>
        <w:rPr>
          <w:rStyle w:val="VerbatimChar"/>
        </w:rPr>
        <w:t xml:space="preserve">G</w:t>
      </w:r>
      <w:r>
        <w:t xml:space="preserve"> </w:t>
      </w:r>
      <w:r>
        <w:t xml:space="preserve">is loaded and</w:t>
      </w:r>
      <w:r>
        <w:t xml:space="preserve"> </w:t>
      </w:r>
      <w:r>
        <w:rPr>
          <w:rStyle w:val="VerbatimChar"/>
        </w:rPr>
        <w:t xml:space="preserve">networkx</w:t>
      </w:r>
      <w:r>
        <w:t xml:space="preserve"> </w:t>
      </w:r>
      <w:r>
        <w:t xml:space="preserve">is imported as</w:t>
      </w:r>
      <w:r>
        <w:t xml:space="preserve"> </w:t>
      </w:r>
      <w:r>
        <w:rPr>
          <w:rStyle w:val="VerbatimChar"/>
        </w:rPr>
        <w:t xml:space="preserve">nx</w:t>
      </w:r>
      <w:r>
        <w:t xml:space="preserve">.</w:t>
      </w:r>
    </w:p>
    <w:bookmarkStart w:id="42" w:name="querying-drug-target-relationships"/>
    <w:p>
      <w:pPr>
        <w:pStyle w:val="Heading3"/>
      </w:pPr>
      <w:r>
        <w:t xml:space="preserve">5.1 Querying Drug-Target Relationships</w:t>
      </w:r>
    </w:p>
    <w:p>
      <w:pPr>
        <w:pStyle w:val="SourceCode"/>
      </w:pP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42"/>
    <w:bookmarkStart w:id="43" w:name="extracting-pathway-subnetworks"/>
    <w:p>
      <w:pPr>
        <w:pStyle w:val="Heading3"/>
      </w:pPr>
      <w:r>
        <w:t xml:space="preserve">5.2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NormalTok"/>
        </w:rPr>
        <w:t xml:space="preserve">nx.write_graphml(subgraph, </w:t>
      </w:r>
      <w:r>
        <w:rPr>
          <w:rStyle w:val="StringTok"/>
        </w:rPr>
        <w:t xml:space="preserve">"opioid_pathway.graphml"</w:t>
      </w:r>
      <w:r>
        <w:rPr>
          <w:rStyle w:val="NormalTok"/>
        </w:rPr>
        <w:t xml:space="preserve">)</w:t>
      </w:r>
    </w:p>
    <w:bookmarkEnd w:id="43"/>
    <w:bookmarkStart w:id="44" w:name="tissue-expression-profile-retrieval"/>
    <w:p>
      <w:pPr>
        <w:pStyle w:val="Heading3"/>
      </w:pPr>
      <w:r>
        <w:t xml:space="preserve">5.3 Tissue Expression Profile Retrieval</w:t>
      </w:r>
    </w:p>
    <w:p>
      <w:pPr>
        <w:pStyle w:val="SourceCode"/>
      </w:pPr>
      <w:r>
        <w:rPr>
          <w:rStyle w:val="CommentTok"/>
        </w:rPr>
        <w:t xml:space="preserve"># Retrieve GTEx tissue expression for all Track B pain genes</w:t>
      </w:r>
      <w:r>
        <w:br/>
      </w:r>
      <w:r>
        <w:rPr>
          <w:rStyle w:val="NormalTok"/>
        </w:rPr>
        <w:t xml:space="preserve">track_b_expr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data.get(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NormalTok"/>
        </w:rPr>
        <w:t xml:space="preserve">        gene </w:t>
      </w:r>
      <w:r>
        <w:rPr>
          <w:rStyle w:val="OperatorTok"/>
        </w:rPr>
        <w:t xml:space="preserve">=</w:t>
      </w:r>
      <w:r>
        <w:rPr>
          <w:rStyle w:val="NormalTok"/>
        </w:rPr>
        <w:t xml:space="preserve"> data[</w:t>
      </w:r>
      <w:r>
        <w:rPr>
          <w:rStyle w:val="StringTok"/>
        </w:rPr>
        <w:t xml:space="preserve">"node_name"</w:t>
      </w:r>
      <w:r>
        <w:rPr>
          <w:rStyle w:val="NormalTok"/>
        </w:rPr>
        <w:t xml:space="preserve">]</w:t>
      </w:r>
      <w:r>
        <w:br/>
      </w:r>
      <w:r>
        <w:rPr>
          <w:rStyle w:val="NormalTok"/>
        </w:rPr>
        <w:t xml:space="preserve">        expr </w:t>
      </w:r>
      <w:r>
        <w:rPr>
          <w:rStyle w:val="OperatorTok"/>
        </w:rPr>
        <w:t xml:space="preserve">=</w:t>
      </w:r>
      <w:r>
        <w:rPr>
          <w:rStyle w:val="NormalTok"/>
        </w:rPr>
        <w:t xml:space="preserve"> data.get(</w:t>
      </w:r>
      <w:r>
        <w:rPr>
          <w:rStyle w:val="StringTok"/>
        </w:rPr>
        <w:t xml:space="preserve">"gtex_median_tpm"</w:t>
      </w:r>
      <w:r>
        <w:rPr>
          <w:rStyle w:val="NormalTok"/>
        </w:rPr>
        <w:t xml:space="preserve">, {})</w:t>
      </w:r>
      <w:r>
        <w:br/>
      </w:r>
      <w:r>
        <w:rPr>
          <w:rStyle w:val="NormalTok"/>
        </w:rPr>
        <w:t xml:space="preserve">        track_b_expr.append({</w:t>
      </w:r>
      <w:r>
        <w:br/>
      </w:r>
      <w:r>
        <w:rPr>
          <w:rStyle w:val="NormalTok"/>
        </w:rPr>
        <w:t xml:space="preserve">            </w:t>
      </w:r>
      <w:r>
        <w:rPr>
          <w:rStyle w:val="StringTok"/>
        </w:rPr>
        <w:t xml:space="preserve">"gene"</w:t>
      </w:r>
      <w:r>
        <w:rPr>
          <w:rStyle w:val="NormalTok"/>
        </w:rPr>
        <w:t xml:space="preserve">: gene,</w:t>
      </w:r>
      <w:r>
        <w:br/>
      </w:r>
      <w:r>
        <w:rPr>
          <w:rStyle w:val="NormalTok"/>
        </w:rPr>
        <w:t xml:space="preserve">            </w:t>
      </w:r>
      <w:r>
        <w:rPr>
          <w:rStyle w:val="StringTok"/>
        </w:rPr>
        <w:t xml:space="preserve">"spinal"</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tringTok"/>
        </w:rPr>
        <w:t xml:space="preserve">"tibial"</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br/>
      </w:r>
      <w:r>
        <w:rPr>
          <w:rStyle w:val="CommentTok"/>
        </w:rPr>
        <w:t xml:space="preserve"># Display first 5 Track B genes</w:t>
      </w:r>
      <w:r>
        <w:br/>
      </w:r>
      <w:r>
        <w:rPr>
          <w:rStyle w:val="ControlFlowTok"/>
        </w:rPr>
        <w:t xml:space="preserve">for</w:t>
      </w:r>
      <w:r>
        <w:rPr>
          <w:rStyle w:val="NormalTok"/>
        </w:rPr>
        <w:t xml:space="preserve"> item </w:t>
      </w:r>
      <w:r>
        <w:rPr>
          <w:rStyle w:val="KeywordTok"/>
        </w:rPr>
        <w:t xml:space="preserve">in</w:t>
      </w:r>
      <w:r>
        <w:rPr>
          <w:rStyle w:val="NormalTok"/>
        </w:rPr>
        <w:t xml:space="preserve"> track_b_expr[:</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item[</w:t>
      </w:r>
      <w:r>
        <w:rPr>
          <w:rStyle w:val="StringTok"/>
        </w:rPr>
        <w:t xml:space="preserve">'gene'</w:t>
      </w:r>
      <w:r>
        <w:rPr>
          <w:rStyle w:val="NormalTok"/>
        </w:rPr>
        <w:t xml:space="preserve">]</w:t>
      </w:r>
      <w:r>
        <w:rPr>
          <w:rStyle w:val="SpecialCharTok"/>
        </w:rPr>
        <w:t xml:space="preserve">}</w:t>
      </w:r>
      <w:r>
        <w:rPr>
          <w:rStyle w:val="SpecialStringTok"/>
        </w:rPr>
        <w:t xml:space="preserve">: Spinal=</w:t>
      </w:r>
      <w:r>
        <w:rPr>
          <w:rStyle w:val="SpecialCharTok"/>
        </w:rPr>
        <w:t xml:space="preserve">{</w:t>
      </w:r>
      <w:r>
        <w:rPr>
          <w:rStyle w:val="NormalTok"/>
        </w:rPr>
        <w:t xml:space="preserve">item[</w:t>
      </w:r>
      <w:r>
        <w:rPr>
          <w:rStyle w:val="StringTok"/>
        </w:rPr>
        <w:t xml:space="preserve">'spinal'</w:t>
      </w:r>
      <w:r>
        <w:rPr>
          <w:rStyle w:val="NormalTok"/>
        </w:rPr>
        <w:t xml:space="preserve">]</w:t>
      </w:r>
      <w:r>
        <w:rPr>
          <w:rStyle w:val="SpecialCharTok"/>
        </w:rPr>
        <w:t xml:space="preserve">}</w:t>
      </w:r>
      <w:r>
        <w:rPr>
          <w:rStyle w:val="SpecialStringTok"/>
        </w:rPr>
        <w:t xml:space="preserve">, Tibial=</w:t>
      </w:r>
      <w:r>
        <w:rPr>
          <w:rStyle w:val="SpecialCharTok"/>
        </w:rPr>
        <w:t xml:space="preserve">{</w:t>
      </w:r>
      <w:r>
        <w:rPr>
          <w:rStyle w:val="NormalTok"/>
        </w:rPr>
        <w:t xml:space="preserve">item[</w:t>
      </w:r>
      <w:r>
        <w:rPr>
          <w:rStyle w:val="StringTok"/>
        </w:rPr>
        <w:t xml:space="preserve">'tibial'</w:t>
      </w:r>
      <w:r>
        <w:rPr>
          <w:rStyle w:val="NormalTok"/>
        </w:rPr>
        <w:t xml:space="preserve">]</w:t>
      </w:r>
      <w:r>
        <w:rPr>
          <w:rStyle w:val="SpecialCharTok"/>
        </w:rPr>
        <w:t xml:space="preserve">}</w:t>
      </w:r>
      <w:r>
        <w:rPr>
          <w:rStyle w:val="SpecialStringTok"/>
        </w:rPr>
        <w:t xml:space="preserve">"</w:t>
      </w:r>
      <w:r>
        <w:rPr>
          <w:rStyle w:val="NormalTok"/>
        </w:rPr>
        <w:t xml:space="preserve">)</w:t>
      </w:r>
    </w:p>
    <w:bookmarkEnd w:id="44"/>
    <w:bookmarkStart w:id="45" w:name="identifying-bridge-genes-between-tracks"/>
    <w:p>
      <w:pPr>
        <w:pStyle w:val="Heading3"/>
      </w:pPr>
      <w:r>
        <w:t xml:space="preserve">5.4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 </w:t>
      </w:r>
      <w:r>
        <w:rPr>
          <w:rStyle w:val="KeywordTok"/>
        </w:rPr>
        <w:t xml:space="preserve">and</w:t>
      </w:r>
      <w:r>
        <w:rPr>
          <w:rStyle w:val="NormalTok"/>
        </w:rPr>
        <w:t xml:space="preserve"> v </w:t>
      </w:r>
      <w:r>
        <w:rPr>
          <w:rStyle w:val="KeywordTok"/>
        </w:rPr>
        <w:t xml:space="preserve">in</w:t>
      </w:r>
      <w:r>
        <w:rPr>
          <w:rStyle w:val="NormalTok"/>
        </w:rPr>
        <w:t xml:space="preserve"> track_b:</w:t>
      </w:r>
      <w:r>
        <w:br/>
      </w:r>
      <w:r>
        <w:rPr>
          <w:rStyle w:val="NormalTok"/>
        </w:rPr>
        <w:t xml:space="preserve">        scores[u] </w:t>
      </w:r>
      <w:r>
        <w:rPr>
          <w:rStyle w:val="OperatorTok"/>
        </w:rPr>
        <w:t xml:space="preserve">=</w:t>
      </w:r>
      <w:r>
        <w:rPr>
          <w:rStyle w:val="NormalTok"/>
        </w:rPr>
        <w:t xml:space="preserve"> 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scores[v] </w:t>
      </w:r>
      <w:r>
        <w:rPr>
          <w:rStyle w:val="OperatorTok"/>
        </w:rPr>
        <w:t xml:space="preserve">=</w:t>
      </w:r>
      <w:r>
        <w:rPr>
          <w:rStyle w:val="NormalTok"/>
        </w:rPr>
        <w:t xml:space="preserve"> 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5"/>
    <w:bookmarkEnd w:id="46"/>
    <w:bookmarkStart w:id="47" w:name="supplementary-materials"/>
    <w:p>
      <w:pPr>
        <w:pStyle w:val="Heading2"/>
      </w:pPr>
      <w:r>
        <w:t xml:space="preserve">Supplementary Materials</w:t>
      </w:r>
    </w:p>
    <w:p>
      <w:pPr>
        <w:pStyle w:val="Compact"/>
        <w:numPr>
          <w:ilvl w:val="0"/>
          <w:numId w:val="1001"/>
        </w:numPr>
      </w:pPr>
      <w:r>
        <w:rPr>
          <w:b/>
          <w:bCs/>
        </w:rPr>
        <w:t xml:space="preserve">Table S1:</w:t>
      </w:r>
      <w:r>
        <w:t xml:space="preserve"> </w:t>
      </w:r>
      <w:r>
        <w:t xml:space="preserve">Complete 165-gene pain gene list with functional categories, PrimeKG match status, and track assignments</w:t>
      </w:r>
    </w:p>
    <w:p>
      <w:pPr>
        <w:pStyle w:val="Compact"/>
        <w:numPr>
          <w:ilvl w:val="0"/>
          <w:numId w:val="1001"/>
        </w:numPr>
      </w:pPr>
      <w:r>
        <w:rPr>
          <w:b/>
          <w:bCs/>
        </w:rPr>
        <w:t xml:space="preserve">Table S2:</w:t>
      </w:r>
      <w:r>
        <w:t xml:space="preserve"> </w:t>
      </w:r>
      <w:r>
        <w:t xml:space="preserve">Full edge relation type distribution (all 24 types)</w:t>
      </w:r>
    </w:p>
    <w:p>
      <w:pPr>
        <w:pStyle w:val="Compact"/>
        <w:numPr>
          <w:ilvl w:val="0"/>
          <w:numId w:val="1001"/>
        </w:numPr>
      </w:pPr>
      <w:r>
        <w:rPr>
          <w:b/>
          <w:bCs/>
        </w:rPr>
        <w:t xml:space="preserve">Table S3:</w:t>
      </w:r>
      <w:r>
        <w:t xml:space="preserve"> </w:t>
      </w:r>
      <w:r>
        <w:t xml:space="preserve">Coverage-gap analysis: 72 genes absent from PrimeKG with functional categories and suggested alternative identifiers</w:t>
      </w:r>
    </w:p>
    <w:p>
      <w:pPr>
        <w:pStyle w:val="Compact"/>
        <w:numPr>
          <w:ilvl w:val="0"/>
          <w:numId w:val="1001"/>
        </w:numPr>
      </w:pPr>
      <w:r>
        <w:rPr>
          <w:b/>
          <w:bCs/>
        </w:rPr>
        <w:t xml:space="preserve">Table S4:</w:t>
      </w:r>
      <w:r>
        <w:t xml:space="preserve"> </w:t>
      </w:r>
      <w:r>
        <w:t xml:space="preserve">Multi-split benchmark results for all 11 KG variants</w:t>
      </w:r>
    </w:p>
    <w:p>
      <w:pPr>
        <w:pStyle w:val="Compact"/>
        <w:numPr>
          <w:ilvl w:val="0"/>
          <w:numId w:val="1001"/>
        </w:numPr>
      </w:pPr>
      <w:r>
        <w:rPr>
          <w:b/>
          <w:bCs/>
        </w:rPr>
        <w:t xml:space="preserve">Table S5:</w:t>
      </w:r>
      <w:r>
        <w:t xml:space="preserve"> </w:t>
      </w:r>
      <w:r>
        <w:t xml:space="preserve">Paired statistical comparisons with delta-r confidence intervals</w:t>
      </w:r>
    </w:p>
    <w:p>
      <w:pPr>
        <w:pStyle w:val="Compact"/>
        <w:numPr>
          <w:ilvl w:val="0"/>
          <w:numId w:val="1001"/>
        </w:numPr>
      </w:pPr>
      <w:r>
        <w:rPr>
          <w:b/>
          <w:bCs/>
        </w:rPr>
        <w:t xml:space="preserve">Table S6:</w:t>
      </w:r>
      <w:r>
        <w:t xml:space="preserve"> </w:t>
      </w:r>
      <w:r>
        <w:t xml:space="preserve">KG variant structural characteristics</w:t>
      </w:r>
    </w:p>
    <w:p>
      <w:pPr>
        <w:pStyle w:val="Compact"/>
        <w:numPr>
          <w:ilvl w:val="0"/>
          <w:numId w:val="1001"/>
        </w:numPr>
      </w:pPr>
      <w:r>
        <w:rPr>
          <w:b/>
          <w:bCs/>
        </w:rPr>
        <w:t xml:space="preserve">Supplementary Methods:</w:t>
      </w:r>
      <w:r>
        <w:t xml:space="preserve"> </w:t>
      </w:r>
      <w:r>
        <w:t xml:space="preserve">Spectral decomposition details, nonlinear model comparison (MLP vs ridge), GEARS architecture comparison, evaluation protocol, power analysis</w:t>
      </w:r>
    </w:p>
    <w:p>
      <w:pPr>
        <w:pStyle w:val="Compact"/>
        <w:numPr>
          <w:ilvl w:val="0"/>
          <w:numId w:val="1001"/>
        </w:numPr>
      </w:pPr>
      <w:r>
        <w:rPr>
          <w:b/>
          <w:bCs/>
        </w:rPr>
        <w:t xml:space="preserve">Figure S1-S6:</w:t>
      </w:r>
      <w:r>
        <w:t xml:space="preserve"> </w:t>
      </w:r>
      <w:r>
        <w:t xml:space="preserve">Supplementary figures (degree distribution, track comparison, composition, core network, pathway subnetworks)</w:t>
      </w:r>
    </w:p>
    <w:p>
      <w:r>
        <w:pict>
          <v:rect style="width:0;height:1.5pt" o:hralign="center" o:hrstd="t" o:hr="t"/>
        </w:pict>
      </w:r>
    </w:p>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Top 20 hub nodes ranked by betweenness centrality in RA-PainKG. Node size is proportional to betweenness score.</w:t>
      </w:r>
    </w:p>
    <w:p>
      <w:pPr>
        <w:pStyle w:val="BodyText"/>
      </w:pPr>
      <w:r>
        <w:rPr>
          <w:b/>
          <w:bCs/>
        </w:rPr>
        <w:t xml:space="preserve">Figure 2.</w:t>
      </w:r>
      <w:r>
        <w:t xml:space="preserve"> </w:t>
      </w:r>
      <w:r>
        <w:t xml:space="preserve">Degree distribution of RA-PainKG (log-log scale) with power-law fit. The scale-free topology is characteristic of biological networks.</w:t>
      </w:r>
    </w:p>
    <w:p>
      <w:pPr>
        <w:pStyle w:val="BodyText"/>
      </w:pPr>
      <w:r>
        <w:rPr>
          <w:b/>
          <w:bCs/>
        </w:rPr>
        <w:t xml:space="preserve">Figure 3.</w:t>
      </w:r>
      <w:r>
        <w:t xml:space="preserve"> </w:t>
      </w:r>
      <w:r>
        <w:t xml:space="preserve">Comparison of centrality distributions between Track A (immune-inflammation, n = 106 genes) and Track B (nociception-pain transduction, n = 122 genes) gene subsets. Betweenness, degree, closeness, and eigenvector centrality are shown as violin plots. Track B genes show systematically lower centrality across all metrics, consistent with their sparser representation in PrimeKG.</w:t>
      </w:r>
    </w:p>
    <w:p>
      <w:pPr>
        <w:pStyle w:val="BodyText"/>
      </w:pPr>
      <w:r>
        <w:rPr>
          <w:b/>
          <w:bCs/>
        </w:rPr>
        <w:t xml:space="preserve">Figure 4.</w:t>
      </w:r>
      <w:r>
        <w:t xml:space="preserve"> </w:t>
      </w:r>
      <w:r>
        <w:t xml:space="preserve">Node type composition (pie chart, 10 entity types) and edge relat</w:t>
      </w:r>
    </w:p>
    <w:bookmarkEnd w:id="48"/>
    <w:bookmarkStart w:id="49"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49"/>
    <w:bookmarkStart w:id="50"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50"/>
    <w:bookmarkStart w:id="51"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1"/>
    <w:bookmarkStart w:id="52" w:name="competing-interests"/>
    <w:p>
      <w:pPr>
        <w:pStyle w:val="Heading2"/>
      </w:pPr>
      <w:r>
        <w:t xml:space="preserve">Competing Interests</w:t>
      </w:r>
    </w:p>
    <w:p>
      <w:pPr>
        <w:pStyle w:val="FirstParagraph"/>
      </w:pPr>
      <w:r>
        <w:t xml:space="preserve">The author declares no competing interests.</w:t>
      </w:r>
    </w:p>
    <w:bookmarkEnd w:id="52"/>
    <w:bookmarkStart w:id="53"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3"/>
    <w:bookmarkStart w:id="54"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github.com/yyx-4113/ra-painkg"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yyx-4113/ra-paink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2026-07-17T18:47:20Z</dcterms:created>
  <dcterms:modified xsi:type="dcterms:W3CDTF">2026-07-17T18:47:20Z</dcterms:modified>
</cp:coreProperties>
</file>

<file path=docProps/custom.xml><?xml version="1.0" encoding="utf-8"?>
<Properties xmlns="http://schemas.openxmlformats.org/officeDocument/2006/custom-properties" xmlns:vt="http://schemas.openxmlformats.org/officeDocument/2006/docPropsVTypes"/>
</file>