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End w:id="21"/>
    <w:bookmarkStart w:id="60" w:name="X63e6a6862059b0260bd199739e2746e8e8dce7b"/>
    <w:p>
      <w:pPr>
        <w:pStyle w:val="Heading1"/>
      </w:pPr>
      <w:r>
        <w:t xml:space="preserve">RA-PainKG: Construction, Coverage-Gap Documentation, and Benchmark Validation of a Tissue-Contextualized Knowledge Graph for Rheumatoid Arthritis Pain Signaling</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bookmarkEnd w:id="23"/>
    <w:bookmarkStart w:id="24" w:name="Xd2c00573c78d7734ada126026b04a803a91eb37"/>
    <w:p>
      <w:pPr>
        <w:pStyle w:val="Heading2"/>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4"/>
    <w:bookmarkStart w:id="33" w:name="materials-and-methods"/>
    <w:p>
      <w:pPr>
        <w:pStyle w:val="Heading2"/>
      </w:pPr>
      <w:r>
        <w:t xml:space="preserve">2. Materials and Methods</w:t>
      </w:r>
    </w:p>
    <w:bookmarkStart w:id="25" w:name="knowledge-graph-construction"/>
    <w:p>
      <w:pPr>
        <w:pStyle w:val="Heading3"/>
      </w:pPr>
      <w:r>
        <w:t xml:space="preserve">2.1 Knowledge Graph Construction</w:t>
      </w:r>
    </w:p>
    <w:p>
      <w:pPr>
        <w:pStyle w:val="FirstParagraph"/>
      </w:pPr>
      <w:r>
        <w:t xml:space="preserve">RA-PainKG was constructed in three stages (detailed protocol in [4]).</w:t>
      </w:r>
    </w:p>
    <w:bookmarkEnd w:id="25"/>
    <w:bookmarkStart w:id="26"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6"/>
    <w:bookmarkStart w:id="27"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nine literature-defined pain signaling pathways: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7"/>
    <w:bookmarkStart w:id="28"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8"/>
    <w:bookmarkStart w:id="29" w:name="gene-embedding-and-prediction-model"/>
    <w:p>
      <w:pPr>
        <w:pStyle w:val="Heading3"/>
      </w:pPr>
      <w:r>
        <w:t xml:space="preserve">2.5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9"/>
    <w:bookmarkStart w:id="30" w:name="evaluation-protocol"/>
    <w:p>
      <w:pPr>
        <w:pStyle w:val="Heading3"/>
      </w:pPr>
      <w:r>
        <w:t xml:space="preserve">2.6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30"/>
    <w:bookmarkStart w:id="31" w:name="k562-pain-gene-expression-quantification"/>
    <w:p>
      <w:pPr>
        <w:pStyle w:val="Heading3"/>
      </w:pPr>
      <w:r>
        <w:t xml:space="preserve">2.7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31"/>
    <w:bookmarkStart w:id="32" w:name="implementation"/>
    <w:p>
      <w:pPr>
        <w:pStyle w:val="Heading3"/>
      </w:pPr>
      <w:r>
        <w:t xml:space="preserve">2.8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32"/>
    <w:bookmarkEnd w:id="33"/>
    <w:bookmarkStart w:id="45" w:name="results"/>
    <w:p>
      <w:pPr>
        <w:pStyle w:val="Heading2"/>
      </w:pPr>
      <w:r>
        <w:t xml:space="preserve">3. Results</w:t>
      </w:r>
    </w:p>
    <w:bookmarkStart w:id="34"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effect/phenotype)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dual-track organization is summarized in Table S1: Track A (immune-inflammation, 106 genes) and Track B (nociception-pain transduction, 122 genes), with 96 genes (58.2%) spanning both tracks. This overlap is biologically expected given the mechanistic interconnection between inflammation and pain sensitization, and the dual-track framework is provided as a conceptual organization scheme for hypothesis generation.</w:t>
      </w:r>
    </w:p>
    <w:bookmarkEnd w:id="34"/>
    <w:bookmarkStart w:id="35"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5"/>
    <w:bookmarkStart w:id="44" w:name="benchmark-validation"/>
    <w:p>
      <w:pPr>
        <w:pStyle w:val="Heading3"/>
      </w:pPr>
      <w:r>
        <w:t xml:space="preserve">3.3 Benchmark Validation</w:t>
      </w:r>
    </w:p>
    <w:bookmarkStart w:id="36" w:name="X785cee7fefb1115f077c37d74abac334345b33f"/>
    <w:p>
      <w:pPr>
        <w:pStyle w:val="Heading4"/>
      </w:pPr>
      <w:r>
        <w:t xml:space="preserve">3.3.1 KG Structural Characteristics in Benchmark Context</w:t>
      </w:r>
    </w:p>
    <w:p>
      <w:pPr>
        <w:pStyle w:val="FirstParagraph"/>
      </w:pPr>
      <w:r>
        <w:t xml:space="preserve">RA-PainKG is 280-fold sparser than GO (2,400 vs 673,899 edges), with 68.3% of genes having zero edges. Complete structural characteristics for all 11 KG variants are provided in Supplementary Table S6.</w:t>
      </w:r>
    </w:p>
    <w:bookmarkEnd w:id="36"/>
    <w:bookmarkStart w:id="37" w:name="pain-gene-connectivity-asymmetry"/>
    <w:p>
      <w:pPr>
        <w:pStyle w:val="Heading4"/>
      </w:pPr>
      <w:r>
        <w:t xml:space="preserve">3.3.2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7"/>
    <w:bookmarkStart w:id="38" w:name="k562-expression-context-of-pain-genes"/>
    <w:p>
      <w:pPr>
        <w:pStyle w:val="Heading4"/>
      </w:pPr>
      <w:r>
        <w:t xml:space="preserve">3.3.3 K562 Expression Context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8"/>
    <w:bookmarkStart w:id="39" w:name="X7d485132c60145721f441b2d47ec2b2a3806ab4"/>
    <w:p>
      <w:pPr>
        <w:pStyle w:val="Heading4"/>
      </w:pPr>
      <w:r>
        <w:t xml:space="preserve">3.3.4 Perturbation Prediction Performance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r>
        <w:tc>
          <w:tcPr/>
          <w:p>
            <w:pPr>
              <w:pStyle w:val="Compact"/>
            </w:pPr>
            <w:r>
              <w:t xml:space="preserve">STRING (gene-symbol filtered)</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2).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(r = 0.000 despite 15,403 edges) does not contradict the density hypothesis because STRING edges were filtered to gene-symbol-level precision at the 5,045-gene scale, which degrades the spectral structure relative to the intentionally dense Random graphs; this filtering was necessary for identifier compatibility but likely removed most of STRING’s topological information. The representative dense graph Random_R1 (all-genes r = 0.667, pain r = 0.620) is used for paired comparisons in Table 2.</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9"/>
    <w:bookmarkStart w:id="40" w:name="ablation-analysis"/>
    <w:p>
      <w:pPr>
        <w:pStyle w:val="Heading4"/>
      </w:pPr>
      <w:r>
        <w:t xml:space="preserve">3.3.5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40"/>
    <w:bookmarkStart w:id="41" w:name="sensitivity-analysis"/>
    <w:p>
      <w:pPr>
        <w:pStyle w:val="Heading4"/>
      </w:pPr>
      <w:r>
        <w:t xml:space="preserve">3.3.6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41"/>
    <w:bookmarkStart w:id="42" w:name="random-graph-realization-stability"/>
    <w:p>
      <w:pPr>
        <w:pStyle w:val="Heading4"/>
      </w:pPr>
      <w:r>
        <w:t xml:space="preserve">3.3.7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42"/>
    <w:bookmarkStart w:id="43" w:name="X544b44c850327218c6c7dba3ef85df8368a03ff"/>
    <w:p>
      <w:pPr>
        <w:pStyle w:val="Heading4"/>
      </w:pPr>
      <w:r>
        <w:t xml:space="preserve">3.3.8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43"/>
    <w:bookmarkEnd w:id="44"/>
    <w:bookmarkEnd w:id="45"/>
    <w:bookmarkStart w:id="52" w:name="discussion"/>
    <w:p>
      <w:pPr>
        <w:pStyle w:val="Heading2"/>
      </w:pPr>
      <w:r>
        <w:t xml:space="preserve">4. Discussion</w:t>
      </w:r>
    </w:p>
    <w:bookmarkStart w:id="46"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4).</w:t>
      </w:r>
    </w:p>
    <w:p>
      <w:pPr>
        <w:pStyle w:val="BodyText"/>
      </w:pPr>
      <w:r>
        <w:rPr>
          <w:b/>
          <w:bCs/>
        </w:rPr>
        <w:t xml:space="preserve">Table 4.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bl>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for pain genes across 54 human tissues. Second, as a hypothesis-generation tool: the dual-track framework enables systematic comparison of inflammatory versus nociceptive mechanisms, and bridge genes (STAT3, RELA, NF-kappaB complex) connecting both tracks represent candidate intervention points where anti-inflammatory and analgesic effects may converge. Third, as prior knowledge for machine learning: the graph provides structured domain knowledge for downstream applications including gene perturbation prediction, drug repurposing, and causal mediator identification.</w:t>
      </w:r>
    </w:p>
    <w:bookmarkEnd w:id="46"/>
    <w:bookmarkStart w:id="47"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uncommon in the biomedical database literature and represents a methodological contribution for transparent resource development.</w:t>
      </w:r>
    </w:p>
    <w:bookmarkEnd w:id="47"/>
    <w:bookmarkStart w:id="48"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(Tables 2-3). Two findings merit discussion.</w:t>
      </w:r>
    </w:p>
    <w:p>
      <w:pPr>
        <w:pStyle w:val="BodyText"/>
      </w:pPr>
      <w:r>
        <w:t xml:space="preserve">First, the validation establishes honest boundary conditions.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48"/>
    <w:bookmarkStart w:id="49"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p>
      <w:pPr>
        <w:pStyle w:val="BodyText"/>
      </w:pPr>
      <w:r>
        <w:rPr>
          <w:b/>
          <w:bCs/>
        </w:rPr>
        <w:t xml:space="preserve">Validation scope:</w:t>
      </w:r>
      <w:r>
        <w:t xml:space="preserve"> </w:t>
      </w:r>
      <w:r>
        <w:t xml:space="preserve">Benchmark validation is limited to K562 cells. Replication in disease-relevant cell types is essential before drawing conclusions about domain KG utility for pain biology applications.</w:t>
      </w:r>
    </w:p>
    <w:bookmarkEnd w:id="49"/>
    <w:bookmarkStart w:id="50"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50"/>
    <w:bookmarkStart w:id="51"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 Transparent benchmark validation establishes honest boundary conditions,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51"/>
    <w:bookmarkEnd w:id="52"/>
    <w:bookmarkStart w:id="53"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53"/>
    <w:bookmarkStart w:id="54"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4"/>
    <w:bookmarkStart w:id="55"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5"/>
    <w:bookmarkStart w:id="56" w:name="competing-interests"/>
    <w:p>
      <w:pPr>
        <w:pStyle w:val="Heading2"/>
      </w:pPr>
      <w:r>
        <w:t xml:space="preserve">Competing Interests</w:t>
      </w:r>
    </w:p>
    <w:p>
      <w:pPr>
        <w:pStyle w:val="FirstParagraph"/>
      </w:pPr>
      <w:r>
        <w:t xml:space="preserve">The author declares no competing interests.</w:t>
      </w:r>
    </w:p>
    <w:bookmarkEnd w:id="56"/>
    <w:bookmarkStart w:id="57"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7"/>
    <w:bookmarkStart w:id="58"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2026-07-17T13:09:57Z</dcterms:created>
  <dcterms:modified xsi:type="dcterms:W3CDTF">2026-07-17T13:09:57Z</dcterms:modified>
</cp:coreProperties>
</file>

<file path=docProps/custom.xml><?xml version="1.0" encoding="utf-8"?>
<Properties xmlns="http://schemas.openxmlformats.org/officeDocument/2006/custom-properties" xmlns:vt="http://schemas.openxmlformats.org/officeDocument/2006/docPropsVTypes"/>
</file>