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End w:id="21"/>
    <w:bookmarkStart w:id="56" w:name="X63e6a6862059b0260bd199739e2746e8e8dce7b"/>
    <w:p>
      <w:pPr>
        <w:pStyle w:val="Heading1"/>
      </w:pPr>
      <w:r>
        <w:t xml:space="preserve">RA-PainKG: Construction, Coverage-Gap Documentation, and Benchmark Validation of a Tissue-Contextualized Knowledge Graph for Rheumatoid Arthritis Pain Signaling</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but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organized into Track A (immune-inflammation, 106 genes) and Track B (nociception-pain transduction, 122 genes, with 96 overlapping).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3"/>
    <w:bookmarkStart w:id="32" w:name="materials-and-methods"/>
    <w:p>
      <w:pPr>
        <w:pStyle w:val="Heading2"/>
      </w:pPr>
      <w:r>
        <w:t xml:space="preserve">2. Materials and Methods</w:t>
      </w:r>
    </w:p>
    <w:bookmarkStart w:id="24" w:name="knowledge-graph-construction"/>
    <w:p>
      <w:pPr>
        <w:pStyle w:val="Heading3"/>
      </w:pPr>
      <w:r>
        <w:t xml:space="preserve">2.1 Knowledge Graph Construction</w:t>
      </w:r>
    </w:p>
    <w:p>
      <w:pPr>
        <w:pStyle w:val="FirstParagraph"/>
      </w:pPr>
      <w:r>
        <w:t xml:space="preserve">RA-PainKG was constructed in three stages (detailed protocol in [19]).</w:t>
      </w:r>
    </w:p>
    <w:bookmarkEnd w:id="24"/>
    <w:bookmarkStart w:id="25"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5"/>
    <w:bookmarkStart w:id="26"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6"/>
    <w:bookmarkStart w:id="27"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7"/>
    <w:bookmarkStart w:id="28" w:name="gene-embedding-and-prediction-model"/>
    <w:p>
      <w:pPr>
        <w:pStyle w:val="Heading3"/>
      </w:pPr>
      <w:r>
        <w:t xml:space="preserve">2.5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[21],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8"/>
    <w:bookmarkStart w:id="29" w:name="evaluation-protocol"/>
    <w:p>
      <w:pPr>
        <w:pStyle w:val="Heading3"/>
      </w:pPr>
      <w:r>
        <w:t xml:space="preserve">2.6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(Supplementary Table S5),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9"/>
    <w:bookmarkStart w:id="30" w:name="k562-pain-gene-expression-quantification"/>
    <w:p>
      <w:pPr>
        <w:pStyle w:val="Heading3"/>
      </w:pPr>
      <w:r>
        <w:t xml:space="preserve">2.7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30"/>
    <w:bookmarkStart w:id="31" w:name="implementation"/>
    <w:p>
      <w:pPr>
        <w:pStyle w:val="Heading3"/>
      </w:pPr>
      <w:r>
        <w:t xml:space="preserve">2.8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31"/>
    <w:bookmarkEnd w:id="32"/>
    <w:bookmarkStart w:id="36" w:name="results"/>
    <w:p>
      <w:pPr>
        <w:pStyle w:val="Heading2"/>
      </w:pPr>
      <w:r>
        <w:t xml:space="preserve">3. Results</w:t>
      </w:r>
    </w:p>
    <w:bookmarkStart w:id="33"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effect/phenotype)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dual-track organization is summarized in Table S1: Track A (immune-inflammation, 106 genes) and Track B (nociception-pain transduction, 122 genes), with 96 genes (58.2%) spanning both tracks. This overlap is biologically expected given the mechanistic interconnection between inflammation and pain sensitization,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should be used as a conceptual lens for hypothesis generation-for example, genes exclusive to Track A or B may represent intervention points where anti-inflammatory and analgesic effects can be partially decoupled, while dual-track hub genes represent convergence points where both processes are jointly regulated.</w:t>
      </w:r>
    </w:p>
    <w:bookmarkEnd w:id="33"/>
    <w:bookmarkStart w:id="34"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[17],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4"/>
    <w:bookmarkStart w:id="35"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5"/>
    <w:bookmarkEnd w:id="36"/>
    <w:bookmarkStart w:id="41" w:name="usage-examples"/>
    <w:p>
      <w:pPr>
        <w:pStyle w:val="Heading2"/>
      </w:pPr>
      <w:r>
        <w:t xml:space="preserve">4. Usage Examples</w:t>
      </w:r>
    </w:p>
    <w:p>
      <w:pPr>
        <w:pStyle w:val="FirstParagraph"/>
      </w:pPr>
      <w:r>
        <w:t xml:space="preserve">RA-PainKG is designed for programmatic access via Python (NetworkX). Below are three representative use cases. All code is available in the GitHub repository.</w:t>
      </w:r>
    </w:p>
    <w:bookmarkStart w:id="37" w:name="querying-drug-target-relationships"/>
    <w:p>
      <w:pPr>
        <w:pStyle w:val="Heading3"/>
      </w:pPr>
      <w:r>
        <w:t xml:space="preserve">4.1 Querying Drug-Target Relationships</w:t>
      </w:r>
    </w:p>
    <w:p>
      <w:pPr>
        <w:pStyle w:val="SourceCode"/>
      </w:pPr>
      <w:r>
        <w:rPr>
          <w:rStyle w:val="ImportTok"/>
        </w:rPr>
        <w:t xml:space="preserve">import</w:t>
      </w:r>
      <w:r>
        <w:rPr>
          <w:rStyle w:val="NormalTok"/>
        </w:rPr>
        <w:t xml:space="preserve"> pickle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r>
        <w:br/>
      </w:r>
      <w:r>
        <w:br/>
      </w: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37"/>
    <w:bookmarkStart w:id="38" w:name="extracting-pathway-subnetworks"/>
    <w:p>
      <w:pPr>
        <w:pStyle w:val="Heading3"/>
      </w:pPr>
      <w:r>
        <w:t xml:space="preserve">4.2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nx.write_graphml(subgraph, </w:t>
      </w:r>
      <w:r>
        <w:rPr>
          <w:rStyle w:val="StringTok"/>
        </w:rPr>
        <w:t xml:space="preserve">"opioid_pathway.graphml"</w:t>
      </w:r>
      <w:r>
        <w:rPr>
          <w:rStyle w:val="NormalTok"/>
        </w:rPr>
        <w:t xml:space="preserve">)</w:t>
      </w:r>
    </w:p>
    <w:bookmarkEnd w:id="38"/>
    <w:bookmarkStart w:id="39" w:name="tissue-expression-profile-retrieval"/>
    <w:p>
      <w:pPr>
        <w:pStyle w:val="Heading3"/>
      </w:pPr>
      <w:r>
        <w:t xml:space="preserve">4.3 Tissue Expression Profile Retrieval</w:t>
      </w:r>
    </w:p>
    <w:p>
      <w:pPr>
        <w:pStyle w:val="SourceCode"/>
      </w:pPr>
      <w:r>
        <w:rPr>
          <w:rStyle w:val="CommentTok"/>
        </w:rPr>
        <w:t xml:space="preserve"># Retrieve GTEx tissue expression for all Track B pain genes</w:t>
      </w:r>
      <w:r>
        <w:br/>
      </w:r>
      <w:r>
        <w:rPr>
          <w:rStyle w:val="NormalTok"/>
        </w:rPr>
        <w:t xml:space="preserve">track_b_genes </w:t>
      </w:r>
      <w:r>
        <w:rPr>
          <w:rStyle w:val="OperatorTok"/>
        </w:rPr>
        <w:t xml:space="preserve">=</w:t>
      </w:r>
      <w:r>
        <w:rPr>
          <w:rStyle w:val="NormalTok"/>
        </w:rPr>
        <w:t xml:space="preserve"> [d[</w:t>
      </w:r>
      <w:r>
        <w:rPr>
          <w:rStyle w:val="StringTok"/>
        </w:rPr>
        <w:t xml:space="preserve">"node_name"</w:t>
      </w:r>
      <w:r>
        <w:rPr>
          <w:rStyle w:val="NormalTok"/>
        </w:rPr>
        <w:t xml:space="preserve">] </w:t>
      </w:r>
      <w:r>
        <w:rPr>
          <w:rStyle w:val="ControlFlowTok"/>
        </w:rPr>
        <w:t xml:space="preserve">for</w:t>
      </w:r>
      <w:r>
        <w:rPr>
          <w:rStyle w:val="NormalTok"/>
        </w:rPr>
        <w:t xml:space="preserve"> _,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ControlFlowTok"/>
        </w:rPr>
        <w:t xml:space="preserve">for</w:t>
      </w:r>
      <w:r>
        <w:rPr>
          <w:rStyle w:val="NormalTok"/>
        </w:rPr>
        <w:t xml:space="preserve"> gene </w:t>
      </w:r>
      <w:r>
        <w:rPr>
          <w:rStyle w:val="KeywordTok"/>
        </w:rPr>
        <w:t xml:space="preserve">in</w:t>
      </w:r>
      <w:r>
        <w:rPr>
          <w:rStyle w:val="NormalTok"/>
        </w:rPr>
        <w:t xml:space="preserve"> track_b_genes[:</w:t>
      </w:r>
      <w:r>
        <w:rPr>
          <w:rStyle w:val="DecValTok"/>
        </w:rPr>
        <w:t xml:space="preserve">5</w:t>
      </w:r>
      <w:r>
        <w:rPr>
          <w:rStyle w:val="NormalTok"/>
        </w:rPr>
        <w:t xml:space="preserve">]:</w:t>
      </w:r>
      <w:r>
        <w:br/>
      </w:r>
      <w:r>
        <w:rPr>
          <w:rStyle w:val="NormalTok"/>
        </w:rPr>
        <w:t xml:space="preserve">    expr </w:t>
      </w:r>
      <w:r>
        <w:rPr>
          <w:rStyle w:val="OperatorTok"/>
        </w:rPr>
        <w:t xml:space="preserve">=</w:t>
      </w:r>
      <w:r>
        <w:rPr>
          <w:rStyle w:val="NormalTok"/>
        </w:rPr>
        <w:t xml:space="preserve"> d.get(</w:t>
      </w:r>
      <w:r>
        <w:rPr>
          <w:rStyle w:val="StringTok"/>
        </w:rPr>
        <w:t xml:space="preserve">"gtex_median_tpm"</w:t>
      </w:r>
      <w:r>
        <w:rPr>
          <w:rStyle w:val="NormalTok"/>
        </w:rPr>
        <w:t xml:space="preserve">, {})</w:t>
      </w:r>
      <w:r>
        <w:br/>
      </w:r>
      <w:r>
        <w:rPr>
          <w:rStyle w:val="NormalTok"/>
        </w:rPr>
        <w:t xml:space="preserve">    spinal_cord </w:t>
      </w:r>
      <w:r>
        <w:rPr>
          <w:rStyle w:val="OperatorTok"/>
        </w:rPr>
        <w:t xml:space="preserve">=</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tibial_nerve </w:t>
      </w:r>
      <w:r>
        <w:rPr>
          <w:rStyle w:val="OperatorTok"/>
        </w:rPr>
        <w:t xml:space="preserve">=</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gene</w:t>
      </w:r>
      <w:r>
        <w:rPr>
          <w:rStyle w:val="SpecialCharTok"/>
        </w:rPr>
        <w:t xml:space="preserve">}</w:t>
      </w:r>
      <w:r>
        <w:rPr>
          <w:rStyle w:val="SpecialStringTok"/>
        </w:rPr>
        <w:t xml:space="preserve">: Spinal=</w:t>
      </w:r>
      <w:r>
        <w:rPr>
          <w:rStyle w:val="SpecialCharTok"/>
        </w:rPr>
        <w:t xml:space="preserve">{</w:t>
      </w:r>
      <w:r>
        <w:rPr>
          <w:rStyle w:val="NormalTok"/>
        </w:rPr>
        <w:t xml:space="preserve">spinal_cord</w:t>
      </w:r>
      <w:r>
        <w:rPr>
          <w:rStyle w:val="SpecialCharTok"/>
        </w:rPr>
        <w:t xml:space="preserve">}</w:t>
      </w:r>
      <w:r>
        <w:rPr>
          <w:rStyle w:val="SpecialStringTok"/>
        </w:rPr>
        <w:t xml:space="preserve">, Tibial=</w:t>
      </w:r>
      <w:r>
        <w:rPr>
          <w:rStyle w:val="SpecialCharTok"/>
        </w:rPr>
        <w:t xml:space="preserve">{</w:t>
      </w:r>
      <w:r>
        <w:rPr>
          <w:rStyle w:val="NormalTok"/>
        </w:rPr>
        <w:t xml:space="preserve">tibial_nerve</w:t>
      </w:r>
      <w:r>
        <w:rPr>
          <w:rStyle w:val="SpecialCharTok"/>
        </w:rPr>
        <w:t xml:space="preserve">}</w:t>
      </w:r>
      <w:r>
        <w:rPr>
          <w:rStyle w:val="SpecialStringTok"/>
        </w:rPr>
        <w:t xml:space="preserve">"</w:t>
      </w:r>
      <w:r>
        <w:rPr>
          <w:rStyle w:val="NormalTok"/>
        </w:rPr>
        <w:t xml:space="preserve">)</w:t>
      </w:r>
    </w:p>
    <w:bookmarkEnd w:id="39"/>
    <w:bookmarkStart w:id="40" w:name="identifying-bridge-genes-between-tracks"/>
    <w:p>
      <w:pPr>
        <w:pStyle w:val="Heading3"/>
      </w:pPr>
      <w:r>
        <w:t xml:space="preserve">4.4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ppi_edges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bridge_scores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ppi_edges:</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track_a_nodes </w:t>
      </w:r>
      <w:r>
        <w:rPr>
          <w:rStyle w:val="KeywordTok"/>
        </w:rPr>
        <w:t xml:space="preserve">and</w:t>
      </w:r>
      <w:r>
        <w:rPr>
          <w:rStyle w:val="NormalTok"/>
        </w:rPr>
        <w:t xml:space="preserve"> v </w:t>
      </w:r>
      <w:r>
        <w:rPr>
          <w:rStyle w:val="KeywordTok"/>
        </w:rPr>
        <w:t xml:space="preserve">in</w:t>
      </w:r>
      <w:r>
        <w:rPr>
          <w:rStyle w:val="NormalTok"/>
        </w:rPr>
        <w:t xml:space="preserve"> track_b_nodes:</w:t>
      </w:r>
      <w:r>
        <w:br/>
      </w:r>
      <w:r>
        <w:rPr>
          <w:rStyle w:val="NormalTok"/>
        </w:rPr>
        <w:t xml:space="preserve">        bridge_scores[u] </w:t>
      </w:r>
      <w:r>
        <w:rPr>
          <w:rStyle w:val="OperatorTok"/>
        </w:rPr>
        <w:t xml:space="preserve">=</w:t>
      </w:r>
      <w:r>
        <w:rPr>
          <w:rStyle w:val="NormalTok"/>
        </w:rPr>
        <w:t xml:space="preserve"> bridge_scores.get(u,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bridge_scores[v] </w:t>
      </w:r>
      <w:r>
        <w:rPr>
          <w:rStyle w:val="OperatorTok"/>
        </w:rPr>
        <w:t xml:space="preserve">=</w:t>
      </w:r>
      <w:r>
        <w:rPr>
          <w:rStyle w:val="NormalTok"/>
        </w:rPr>
        <w:t xml:space="preserve"> bridge_scores.get(v,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(bridge_scores.items(),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0"/>
    <w:bookmarkEnd w:id="41"/>
    <w:bookmarkStart w:id="48" w:name="discussion"/>
    <w:p>
      <w:pPr>
        <w:pStyle w:val="Heading2"/>
      </w:pPr>
      <w:r>
        <w:t xml:space="preserve">4. Discussion</w:t>
      </w:r>
    </w:p>
    <w:bookmarkStart w:id="42"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4).</w:t>
      </w:r>
    </w:p>
    <w:p>
      <w:pPr>
        <w:pStyle w:val="BodyText"/>
      </w:pPr>
      <w:r>
        <w:rPr>
          <w:b/>
          <w:bCs/>
        </w:rPr>
        <w:t xml:space="preserve">Table 4.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for pain genes across 54 human tissues. Second, as a hypothesis-generation tool: the dual-track framework enables systematic comparison of inflammatory versus nociceptive mechanisms, and bridge genes (STAT3, RELA, NF-kappaB complex) connecting both tracks represent candidate intervention points where anti-inflammatory and analgesic effects may converge. Third, as prior knowledge for machine learning: the graph provides structured domain knowledge for downstream applications including gene perturbation prediction, drug repurposing, and causal mediator identification.</w:t>
      </w:r>
    </w:p>
    <w:bookmarkEnd w:id="42"/>
    <w:bookmarkStart w:id="43"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uncommon in the biomedical database literature. While resources such as the IUPHAR/BPS Guide to Pharmacology [14] acknowledge incomplete coverage in narrative form, systematic per-gene gap documentation with categorized absence reasons is rarely implemented. We argue this practice represents a methodological contribution for transparent resource development.</w:t>
      </w:r>
    </w:p>
    <w:bookmarkEnd w:id="43"/>
    <w:bookmarkStart w:id="44"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only publicly available genome-scale Perturb-seq dataset with sufficient coverage to run a controlled multi-split benchmark.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44"/>
    <w:bookmarkStart w:id="45"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p>
      <w:pPr>
        <w:pStyle w:val="BodyText"/>
      </w:pPr>
      <w:r>
        <w:rPr>
          <w:b/>
          <w:bCs/>
        </w:rPr>
        <w:t xml:space="preserve">Validation scope:</w:t>
      </w:r>
      <w:r>
        <w:t xml:space="preserve"> </w:t>
      </w:r>
      <w:r>
        <w:t xml:space="preserve">Benchmark validation is limited to K562 cells. Replication in disease-relevant cell types is essential before drawing conclusions about domain KG utility for pain biology applications.</w:t>
      </w:r>
    </w:p>
    <w:bookmarkEnd w:id="45"/>
    <w:bookmarkStart w:id="46"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46"/>
    <w:bookmarkStart w:id="47"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 Transparent benchmark validation establishes honest boundary conditions,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47"/>
    <w:bookmarkEnd w:id="48"/>
    <w:bookmarkStart w:id="49"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9"/>
    <w:bookmarkStart w:id="50"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0"/>
    <w:bookmarkStart w:id="51"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3"/>
    <w:bookmarkStart w:id="54"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2026-07-17T15:32:30Z</dcterms:created>
  <dcterms:modified xsi:type="dcterms:W3CDTF">2026-07-17T15:32:30Z</dcterms:modified>
</cp:coreProperties>
</file>

<file path=docProps/custom.xml><?xml version="1.0" encoding="utf-8"?>
<Properties xmlns="http://schemas.openxmlformats.org/officeDocument/2006/custom-properties" xmlns:vt="http://schemas.openxmlformats.org/officeDocument/2006/docPropsVTypes"/>
</file>