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4"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using a rheumatoid arthritis (RA) pain signaling KG as a worked example of domain-specific prior knowledge.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284 CRISPRi conditions). Gene embeddings were computed via spectral decomposition (k = 128) of the normalized graph Laplacian. Perturbation effects were predicted via ridge regression across 10 independent train/test splits (80%/20%), with paired t-tests, delta-r confidence intervals, cross-split ranking consistency (Kendall’s W), and sensitivity analyses for regularization (alpha = 0.001–100.0) and embedding dimension (k = 32–512). An exploratory 2-layer MLP was evaluated on a single split. Total compute time was approximately 12 minutes (CPU: Intel i9-13900K, 64 GB RAM).</w:t>
      </w:r>
    </w:p>
    <w:p>
      <w:pPr>
        <w:pStyle w:val="BodyText"/>
      </w:pPr>
      <w:r>
        <w:rPr>
          <w:b/>
          <w:bCs/>
        </w:rPr>
        <w:t xml:space="preserve">Results:</w:t>
      </w:r>
      <w:r>
        <w:t xml:space="preserve"> </w:t>
      </w:r>
      <w:r>
        <w:t xml:space="preserve">Dense random graphs consistently achieved the highest prediction accuracy. A representative random graph (Random_R1) achieved Pearson r = 0.667 (all genes) and 0.620 (pain genes), significantly outperforming GO (r = 0.589 and 0.542; delta = +0.078, 95% CI [+0.059, +0.096], p &lt; 0.001) and RA-PainKG (pain r = 0.503, computed over 44 pain genes overlapping the Norman dataset; delta = +0.117, 95% CI [+0.083, +0.150], p &lt; 0.001). Five independent random realizations showed low variability (all-genes r mean = 0.653, SD = 0.010). RA-PainKG did not differ significantly from GO (delta = -0.039, 95% CI [-0.078, +0.000], p = 0.084, unadjusted; Bonferroni threshold p &lt; 0.01). Ablation experiments confirmed that edge identity is irrelevant when degree distribution is preserved (p = 0.41–0.83). Cross-split ranking consistency was moderate (Kendall’s W = 0.64–0.65). The exploratory MLP showed attenuated KG distinctions relative to the linear model.</w:t>
      </w:r>
    </w:p>
    <w:p>
      <w:pPr>
        <w:pStyle w:val="BodyText"/>
      </w:pPr>
      <w:r>
        <w:rPr>
          <w:b/>
          <w:bCs/>
        </w:rPr>
        <w:t xml:space="preserve">Discussion:</w:t>
      </w:r>
      <w:r>
        <w:t xml:space="preserve"> </w:t>
      </w:r>
      <w:r>
        <w:t xml:space="preserve">The dominant methodological finding is that single-split evaluation produces artifacts in KG benchmarking: RA-PainKG appeared to outperform GO in one split (pain r = 0.558 vs 0.481) but reversed under multi-split averaging (0.503 vs 0.542). Ablation experiments provide causal evidence that edge identity is irrelevant when degree distribution is preserved. The K562 system severely limits pain-specific conclusions (59.1% of measurable pain genes below expression threshold; only 26.7% of RA-PainKG genes present in the dataset); replication in sensory neuron models is essential.</w:t>
      </w:r>
    </w:p>
    <w:p>
      <w:pPr>
        <w:pStyle w:val="BodyText"/>
      </w:pPr>
      <w:r>
        <w:rPr>
          <w:b/>
          <w:bCs/>
        </w:rPr>
        <w:t xml:space="preserve">Conclusion:</w:t>
      </w:r>
      <w:r>
        <w:t xml:space="preserve"> </w:t>
      </w:r>
      <w:r>
        <w:t xml:space="preserve">We provide an open-source multi-split ablation benchmark framework and demonstrate that single-split KG evaluation generates misleading conclusions. Causal evidence from degree-preserving randomization shows that graph connectivity, not edge semantics, drives linear perturbation prediction. Domain KGs quantify knowledge gaps but require disease-relevant test systems for valid evaluation.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rPr>
          <w:b/>
          <w:bCs/>
        </w:rPr>
        <w:t xml:space="preserve">Table 1. KG variant structural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KG Variant</w:t>
            </w:r>
          </w:p>
        </w:tc>
        <w:tc>
          <w:tcPr/>
          <w:p>
            <w:pPr>
              <w:pStyle w:val="Compact"/>
            </w:pPr>
            <w:r>
              <w:t xml:space="preserve">Edges</w:t>
            </w:r>
          </w:p>
        </w:tc>
        <w:tc>
          <w:tcPr/>
          <w:p>
            <w:pPr>
              <w:pStyle w:val="Compact"/>
            </w:pPr>
            <w:r>
              <w:t xml:space="preserve">Density</w:t>
            </w:r>
          </w:p>
        </w:tc>
        <w:tc>
          <w:tcPr/>
          <w:p>
            <w:pPr>
              <w:pStyle w:val="Compact"/>
            </w:pPr>
            <w:r>
              <w:t xml:space="preserve">Mean Degree</w:t>
            </w:r>
          </w:p>
        </w:tc>
        <w:tc>
          <w:tcPr/>
          <w:p>
            <w:pPr>
              <w:pStyle w:val="Compact"/>
            </w:pPr>
            <w:r>
              <w:t xml:space="preserve">Coverage (%)</w:t>
            </w:r>
          </w:p>
        </w:tc>
      </w:tr>
      <w:tr>
        <w:tc>
          <w:tcPr/>
          <w:p>
            <w:pPr>
              <w:pStyle w:val="Compact"/>
            </w:pPr>
            <w:r>
              <w:t xml:space="preserve">GO-BP</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Random (5 graphs; range)</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GO-painCentric</w:t>
            </w:r>
          </w:p>
        </w:tc>
        <w:tc>
          <w:tcPr/>
          <w:p>
            <w:pPr>
              <w:pStyle w:val="Compact"/>
            </w:pPr>
            <w:r>
              <w:t xml:space="preserve">121,543</w:t>
            </w:r>
          </w:p>
        </w:tc>
        <w:tc>
          <w:tcPr/>
          <w:p>
            <w:pPr>
              <w:pStyle w:val="Compact"/>
            </w:pPr>
            <w:r>
              <w:t xml:space="preserve">0.00478</w:t>
            </w:r>
          </w:p>
        </w:tc>
        <w:tc>
          <w:tcPr/>
          <w:p>
            <w:pPr>
              <w:pStyle w:val="Compact"/>
            </w:pPr>
            <w:r>
              <w:t xml:space="preserve">48.2</w:t>
            </w:r>
          </w:p>
        </w:tc>
        <w:tc>
          <w:tcPr/>
          <w:p>
            <w:pPr>
              <w:pStyle w:val="Compact"/>
            </w:pPr>
            <w:r>
              <w:t xml:space="preserve">100</w:t>
            </w:r>
          </w:p>
        </w:tc>
      </w:tr>
      <w:tr>
        <w:tc>
          <w:tcPr/>
          <w:p>
            <w:pPr>
              <w:pStyle w:val="Compact"/>
            </w:pPr>
            <w:r>
              <w:t xml:space="preserve">RA-PainKG</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RA-PainKG-degPreserved</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Identity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STRING (gene-symbol filtered)</w:t>
            </w:r>
          </w:p>
        </w:tc>
        <w:tc>
          <w:tcPr/>
          <w:p>
            <w:pPr>
              <w:pStyle w:val="Compact"/>
            </w:pPr>
            <w:r>
              <w:t xml:space="preserve">15,403</w:t>
            </w:r>
          </w:p>
        </w:tc>
        <w:tc>
          <w:tcPr/>
          <w:p>
            <w:pPr>
              <w:pStyle w:val="Compact"/>
            </w:pPr>
            <w:r>
              <w:t xml:space="preserve">0.00061</w:t>
            </w:r>
          </w:p>
        </w:tc>
        <w:tc>
          <w:tcPr/>
          <w:p>
            <w:pPr>
              <w:pStyle w:val="Compact"/>
            </w:pPr>
            <w:r>
              <w:t xml:space="preserve">6.1</w:t>
            </w:r>
          </w:p>
        </w:tc>
        <w:tc>
          <w:tcPr/>
          <w:p>
            <w:pPr>
              <w:pStyle w:val="Compact"/>
            </w:pPr>
            <w:r>
              <w:t xml:space="preserve">100</w:t>
            </w:r>
          </w:p>
        </w:tc>
      </w:tr>
    </w:tbl>
    <w:p>
      <w:pPr>
        <w:pStyle w:val="BodyText"/>
      </w:pPr>
      <w:r>
        <w:t xml:space="preserve">RA-PainKG is 280-fold sparser than GO, with 68.3% of genes having zero edges.</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r>
        <w:tc>
          <w:tcPr/>
          <w:p>
            <w:pPr>
              <w:pStyle w:val="Compact"/>
            </w:pPr>
            <w:r>
              <w:t xml:space="preserve">STRING (gene-symbol filtered)</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3).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(r = 0.000 despite 15,403 edges) does not contradict the density hypothesis because STRING edges were filtered to gene-symbol-level precision at the 5,045-gene scale, which degrades the spectral structure relative to the intentionally dense Random graphs; this filtering was necessary for identifier compatibility but likely removed most of STRING’s topological information. The representative dense graph Random_R1 (all-genes r = 0.667, pain r = 0.620) is used for paired comparisons in Table 3.</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benchmark pipeline (Python scripts for KG construction, spectral embedding, ridge regression, and statistical analysis),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benchmark data were generated by the author’s original code; no AI tool contributed to data generation or statistical computation beyond code execution of author-specified algorithms.</w:t>
      </w:r>
    </w:p>
    <w:bookmarkEnd w:id="47"/>
    <w:bookmarkStart w:id="48"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Affiliated Hospital of Fujian University of Traditional Chinese Medicine.</w:t>
      </w:r>
    </w:p>
    <w:bookmarkEnd w:id="48"/>
    <w:bookmarkStart w:id="49"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9"/>
    <w:bookmarkStart w:id="50" w:name="competing-interests"/>
    <w:p>
      <w:pPr>
        <w:pStyle w:val="Heading2"/>
      </w:pPr>
      <w:r>
        <w:t xml:space="preserve">Competing Interests</w:t>
      </w:r>
    </w:p>
    <w:p>
      <w:pPr>
        <w:pStyle w:val="FirstParagraph"/>
      </w:pPr>
      <w:r>
        <w:t xml:space="preserve">The author declares no competing interests.</w:t>
      </w:r>
    </w:p>
    <w:bookmarkEnd w:id="50"/>
    <w:bookmarkStart w:id="51"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1"/>
    <w:bookmarkStart w:id="52"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2026-07-16T04:39:47Z</dcterms:created>
  <dcterms:modified xsi:type="dcterms:W3CDTF">2026-07-16T04:39:47Z</dcterms:modified>
</cp:coreProperties>
</file>

<file path=docProps/custom.xml><?xml version="1.0" encoding="utf-8"?>
<Properties xmlns="http://schemas.openxmlformats.org/officeDocument/2006/custom-properties" xmlns:vt="http://schemas.openxmlformats.org/officeDocument/2006/docPropsVTypes"/>
</file>