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r>
        <w:pict>
          <v:rect style="width:0;height:1.5pt" o:hralign="center" o:hrstd="t" o:hr="t"/>
        </w:pict>
      </w:r>
    </w:p>
    <w:bookmarkEnd w:id="20"/>
    <w:bookmarkStart w:id="21"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effective inflammation control, indicating that analgesic and inflammatory mechanisms are partially dissociable. Existing biological network resources do not distinguish pain-specific signaling pathways, provide tissue-contextual information for nociception-relevant compartments, or systematically document knowledge gaps. We present RA-PainKG, a tissue-contextualized knowledge graph with comprehensive coverage-gap documentation and benchmark validation.</w:t>
      </w:r>
    </w:p>
    <w:p>
      <w:pPr>
        <w:pStyle w:val="BodyText"/>
      </w:pPr>
      <w:r>
        <w:rPr>
          <w:b/>
          <w:bCs/>
        </w:rPr>
        <w:t xml:space="preserve">Materials and Methods:</w:t>
      </w:r>
      <w:r>
        <w:t xml:space="preserve"> </w:t>
      </w:r>
      <w:r>
        <w:t xml:space="preserve">RA-PainKG was constructed by integrating PrimeKG v1.0, GTEx v8 tissue expression data (54 tissues), and manual curation of 15 functional gene categories spanning nine core pain signaling pathways. Starting from 192 manually curated pain genes, 120 were identified in PrimeKG by exact symbol matching; 2-hop neighborhood expansion discovered 45 additional pain-relevant genes, yielding 165 annotated genes organized into Track A (immune-inflammation) and Track B (nociception). The graph contains 18,069 nodes (10 entity types) and 127,226 directed edges (24 relation types). All nine curated pathways were mapped (gene coverage: 57–100%). A systematic coverage-gap analysis identified 72 core pain genes absent from PrimeKG. Validation was performed via a multi-split ablation benchmark using the Norman Perturb-seq dataset (91,205 K562 cells) across 11 KG variants.</w:t>
      </w:r>
    </w:p>
    <w:p>
      <w:pPr>
        <w:pStyle w:val="BodyText"/>
      </w:pPr>
      <w:r>
        <w:rPr>
          <w:b/>
          <w:bCs/>
        </w:rPr>
        <w:t xml:space="preserve">Results:</w:t>
      </w:r>
      <w:r>
        <w:t xml:space="preserve"> </w:t>
      </w:r>
      <w:r>
        <w:t xml:space="preserve">RA-PainKG captures 120 of 192 core pain genes (62.5%) and maps all nine literature-curated pain signaling pathways. Coverage-gap analysis revealed that 37.5% of core pain genes are absent from PrimeKG, concentrated in complement cascade, anesthetic targets, and GABA receptor families. Network topology identified EGR1, FOS, STAT3, JUN, and AKT1 as top hub nodes by betweenness centrality. Benchmark validation confirmed that the graph’s predictive utility is constrained by K562 cell-type limitations (59.1% of measurable pain genes below expression threshold), establishing honest boundary conditions for downstream applications.</w:t>
      </w:r>
    </w:p>
    <w:p>
      <w:pPr>
        <w:pStyle w:val="BodyText"/>
      </w:pPr>
      <w:r>
        <w:rPr>
          <w:b/>
          <w:bCs/>
        </w:rPr>
        <w:t xml:space="preserve">Discussion:</w:t>
      </w:r>
      <w:r>
        <w:t xml:space="preserve"> </w:t>
      </w:r>
      <w:r>
        <w:t xml:space="preserve">RA-PainKG fills a specific resource gap: a tissue-contextualized, dual-track knowledge graph with systematic coverage-gap documentation absent from general-purpose resources. The benchmark validation, while limited by K562 cell-type constraints, provides transparent performance characterization and demonstrates the necessity of disease-relevant test systems for domain KG evaluation.</w:t>
      </w:r>
    </w:p>
    <w:p>
      <w:pPr>
        <w:pStyle w:val="BodyText"/>
      </w:pPr>
      <w:r>
        <w:rPr>
          <w:b/>
          <w:bCs/>
        </w:rPr>
        <w:t xml:space="preserve">Conclusion:</w:t>
      </w:r>
      <w:r>
        <w:t xml:space="preserve"> </w:t>
      </w:r>
      <w:r>
        <w:t xml:space="preserve">RA-PainKG is publicly available (GraphML, CSV, Python pickle) at https://github.com/yyx-4113/ra-painkg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Rheumatoid arthritis (RA) affects approximately 1% of the global population,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We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of which 106 were assigned to Track A (immune-inflammation), 122 to Track B (nociception-pain transduction, 96 overlapping between tracks), and 33 to neither track (expansion-discovered genes without clear pain functional assignment).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15 functional gene categories spanning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2"/>
    <w:bookmarkStart w:id="29" w:name="materials-and-methods"/>
    <w:p>
      <w:pPr>
        <w:pStyle w:val="Heading2"/>
      </w:pPr>
      <w:r>
        <w:t xml:space="preserve">2. Materials and Methods</w:t>
      </w:r>
    </w:p>
    <w:bookmarkStart w:id="23" w:name="knowledge-graph-construction"/>
    <w:p>
      <w:pPr>
        <w:pStyle w:val="Heading3"/>
      </w:pPr>
      <w:r>
        <w:t xml:space="preserve">2.1 Knowledge Graph Construction</w:t>
      </w:r>
    </w:p>
    <w:p>
      <w:pPr>
        <w:pStyle w:val="FirstParagraph"/>
      </w:pPr>
      <w:r>
        <w:t xml:space="preserve">RA-PainKG was constructed in three stages (detailed below in Sections 2.2-2.3).</w:t>
      </w:r>
    </w:p>
    <w:bookmarkEnd w:id="23"/>
    <w:bookmarkStart w:id="24"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following standard GTEx expression thresholds [16].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4"/>
    <w:bookmarkStart w:id="25"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5"/>
    <w:bookmarkStart w:id="26"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6"/>
    <w:bookmarkStart w:id="27" w:name="benchmark-validation-methods"/>
    <w:p>
      <w:pPr>
        <w:pStyle w:val="Heading3"/>
      </w:pPr>
      <w:r>
        <w:t xml:space="preserve">2.5 Benchmark Validation Methods</w:t>
      </w:r>
    </w:p>
    <w:p>
      <w:pPr>
        <w:pStyle w:val="FirstParagraph"/>
      </w:pPr>
      <w:r>
        <w:t xml:space="preserve">For validation, 128-dimensional gene embeddings were computed via spectral decomposition of the normalized graph Laplacian (k = 128) for each KG. Perturbation effects were predicted via ridge regression (lambda = 0.1) across 10 independent train/test splits (80%/20%). This linear architecture isolates KG contribution from model capacity. Paired t-tests with Bonferroni correction (alpha = 0.01, m = 5) and Kendall’s W ranking consistency were used for statistical comparison. Sensitivity analyses for regularization (alpha = 0.001–100.0) and embedding dimension (k = 32–512) confirmed robustness. K562 pain gene expression was quantified per-gene for all 44 pain-annotated genes (mean expression, percent expressing cells). Complete methods, including spectral decomposition details, nonlinear model comparison (MLP vs ridge), GEARS architecture comparison [21], evaluation protocol, and power analysis, are provided in Supplementary Methods.</w:t>
      </w:r>
    </w:p>
    <w:bookmarkEnd w:id="27"/>
    <w:bookmarkStart w:id="28" w:name="implementation"/>
    <w:p>
      <w:pPr>
        <w:pStyle w:val="Heading3"/>
      </w:pPr>
      <w:r>
        <w:t xml:space="preserve">2.6 Implementation</w:t>
      </w:r>
    </w:p>
    <w:p>
      <w:pPr>
        <w:pStyle w:val="FirstParagraph"/>
      </w:pPr>
      <w:r>
        <w:t xml:space="preserve">Python 3.10+, ScanPy 1.12, NetworkX 3.6, NumPy, SciPy, scikit-learn. Total compute time: approximately 12 minutes (Intel i9-13900K, 64 GB RAM). Full pipeline and processed data at https://github.com/yyx-4113/ra-painkg.</w:t>
      </w:r>
    </w:p>
    <w:bookmarkEnd w:id="28"/>
    <w:bookmarkEnd w:id="29"/>
    <w:bookmarkStart w:id="33" w:name="results"/>
    <w:p>
      <w:pPr>
        <w:pStyle w:val="Heading2"/>
      </w:pPr>
      <w:r>
        <w:t xml:space="preserve">3. Results</w:t>
      </w:r>
    </w:p>
    <w:bookmarkStart w:id="30"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30"/>
    <w:bookmarkStart w:id="31"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are isolated in the PPI subgraph (zero protein-protein interaction edges),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1"/>
    <w:bookmarkStart w:id="32"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2"/>
    <w:bookmarkEnd w:id="33"/>
    <w:bookmarkStart w:id="40" w:name="discussion"/>
    <w:p>
      <w:pPr>
        <w:pStyle w:val="Heading2"/>
      </w:pPr>
      <w:r>
        <w:t xml:space="preserve">4. Discussion</w:t>
      </w:r>
    </w:p>
    <w:bookmarkStart w:id="34"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4"/>
    <w:bookmarkStart w:id="35"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to our knowledge, rarely implemented in published biomedical knowledge graphs. While resources such as the IUPHAR/BPS Guide to Pharmacology [14] acknowledge incomplete coverage in narrative form, systematic per-gene gap documentation with categorized absence reasons has few precedents. We suggest this practice represents a methodological contribution for transparent resource development.</w:t>
      </w:r>
    </w:p>
    <w:bookmarkEnd w:id="35"/>
    <w:bookmarkStart w:id="36"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most extensively characterized publicly available genome-scale Perturb-seq dataset with sufficient perturbation diversity for multi-split benchmarking at the time of analysis.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6"/>
    <w:bookmarkStart w:id="37"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7"/>
    <w:bookmarkStart w:id="38"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8"/>
    <w:bookmarkStart w:id="39"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39"/>
    <w:bookmarkEnd w:id="40"/>
    <w:bookmarkStart w:id="46"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1">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2"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2"/>
    <w:bookmarkStart w:id="43"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3"/>
    <w:bookmarkStart w:id="44"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NormalTok"/>
        </w:rPr>
        <w:t xml:space="preserve">track_b_expr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track_b_expr.append({</w:t>
      </w:r>
      <w:r>
        <w:br/>
      </w:r>
      <w:r>
        <w:rPr>
          <w:rStyle w:val="NormalTok"/>
        </w:rPr>
        <w:t xml:space="preserve">            </w:t>
      </w:r>
      <w:r>
        <w:rPr>
          <w:rStyle w:val="StringTok"/>
        </w:rPr>
        <w:t xml:space="preserve">"gene"</w:t>
      </w:r>
      <w:r>
        <w:rPr>
          <w:rStyle w:val="NormalTok"/>
        </w:rPr>
        <w:t xml:space="preserve">: gene,</w:t>
      </w:r>
      <w:r>
        <w:br/>
      </w:r>
      <w:r>
        <w:rPr>
          <w:rStyle w:val="NormalTok"/>
        </w:rPr>
        <w:t xml:space="preserve">            </w:t>
      </w:r>
      <w:r>
        <w:rPr>
          <w:rStyle w:val="StringTok"/>
        </w:rPr>
        <w:t xml:space="preserve">"spinal"</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tringTok"/>
        </w:rPr>
        <w:t xml:space="preserve">"tibial"</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br/>
      </w:r>
      <w:r>
        <w:rPr>
          <w:rStyle w:val="CommentTok"/>
        </w:rPr>
        <w:t xml:space="preserve"># Display first 5 Track B genes</w:t>
      </w:r>
      <w:r>
        <w:br/>
      </w:r>
      <w:r>
        <w:rPr>
          <w:rStyle w:val="ControlFlowTok"/>
        </w:rPr>
        <w:t xml:space="preserve">for</w:t>
      </w:r>
      <w:r>
        <w:rPr>
          <w:rStyle w:val="NormalTok"/>
        </w:rPr>
        <w:t xml:space="preserve"> item </w:t>
      </w:r>
      <w:r>
        <w:rPr>
          <w:rStyle w:val="KeywordTok"/>
        </w:rPr>
        <w:t xml:space="preserve">in</w:t>
      </w:r>
      <w:r>
        <w:rPr>
          <w:rStyle w:val="NormalTok"/>
        </w:rPr>
        <w:t xml:space="preserve"> track_b_expr[:</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item[</w:t>
      </w:r>
      <w:r>
        <w:rPr>
          <w:rStyle w:val="StringTok"/>
        </w:rPr>
        <w:t xml:space="preserve">'gene'</w:t>
      </w:r>
      <w:r>
        <w:rPr>
          <w:rStyle w:val="NormalTok"/>
        </w:rPr>
        <w:t xml:space="preserve">]</w:t>
      </w:r>
      <w:r>
        <w:rPr>
          <w:rStyle w:val="SpecialCharTok"/>
        </w:rPr>
        <w:t xml:space="preserve">}</w:t>
      </w:r>
      <w:r>
        <w:rPr>
          <w:rStyle w:val="SpecialStringTok"/>
        </w:rPr>
        <w:t xml:space="preserve">: Spinal=</w:t>
      </w:r>
      <w:r>
        <w:rPr>
          <w:rStyle w:val="SpecialCharTok"/>
        </w:rPr>
        <w:t xml:space="preserve">{</w:t>
      </w:r>
      <w:r>
        <w:rPr>
          <w:rStyle w:val="NormalTok"/>
        </w:rPr>
        <w:t xml:space="preserve">item[</w:t>
      </w:r>
      <w:r>
        <w:rPr>
          <w:rStyle w:val="StringTok"/>
        </w:rPr>
        <w:t xml:space="preserve">'spinal'</w:t>
      </w:r>
      <w:r>
        <w:rPr>
          <w:rStyle w:val="NormalTok"/>
        </w:rPr>
        <w:t xml:space="preserve">]</w:t>
      </w:r>
      <w:r>
        <w:rPr>
          <w:rStyle w:val="SpecialCharTok"/>
        </w:rPr>
        <w:t xml:space="preserve">}</w:t>
      </w:r>
      <w:r>
        <w:rPr>
          <w:rStyle w:val="SpecialStringTok"/>
        </w:rPr>
        <w:t xml:space="preserve">, Tibial=</w:t>
      </w:r>
      <w:r>
        <w:rPr>
          <w:rStyle w:val="SpecialCharTok"/>
        </w:rPr>
        <w:t xml:space="preserve">{</w:t>
      </w:r>
      <w:r>
        <w:rPr>
          <w:rStyle w:val="NormalTok"/>
        </w:rPr>
        <w:t xml:space="preserve">item[</w:t>
      </w:r>
      <w:r>
        <w:rPr>
          <w:rStyle w:val="StringTok"/>
        </w:rPr>
        <w:t xml:space="preserve">'tibial'</w:t>
      </w:r>
      <w:r>
        <w:rPr>
          <w:rStyle w:val="NormalTok"/>
        </w:rPr>
        <w:t xml:space="preserve">]</w:t>
      </w:r>
      <w:r>
        <w:rPr>
          <w:rStyle w:val="SpecialCharTok"/>
        </w:rPr>
        <w:t xml:space="preserve">}</w:t>
      </w:r>
      <w:r>
        <w:rPr>
          <w:rStyle w:val="SpecialStringTok"/>
        </w:rPr>
        <w:t xml:space="preserve">"</w:t>
      </w:r>
      <w:r>
        <w:rPr>
          <w:rStyle w:val="NormalTok"/>
        </w:rPr>
        <w:t xml:space="preserve">)</w:t>
      </w:r>
    </w:p>
    <w:bookmarkEnd w:id="44"/>
    <w:bookmarkStart w:id="45"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5"/>
    <w:bookmarkEnd w:id="46"/>
    <w:bookmarkStart w:id="47"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relation distribution (bar chart, top 10 of 24 relation types) in RA-PainKG. Protein-protein interactions account for 2,400 edges (1.9%), with the remaining 124,826 edges distributed across pathway, bioprocess, drug-target, and other relation types.</w:t>
      </w:r>
    </w:p>
    <w:p>
      <w:pPr>
        <w:pStyle w:val="BodyText"/>
      </w:pPr>
      <w:r>
        <w:rPr>
          <w:b/>
          <w:bCs/>
        </w:rPr>
        <w:t xml:space="preserve">Figure 5.</w:t>
      </w:r>
      <w:r>
        <w:t xml:space="preserve"> </w:t>
      </w:r>
      <w:r>
        <w:t xml:space="preserve">Core signaling network visualization showing the top 50 hub nodes and their interconnections. Node color indicates track assignment.</w:t>
      </w:r>
    </w:p>
    <w:p>
      <w:pPr>
        <w:pStyle w:val="BodyText"/>
      </w:pPr>
      <w:r>
        <w:rPr>
          <w:b/>
          <w:bCs/>
        </w:rPr>
        <w:t xml:space="preserve">Figure 6.</w:t>
      </w:r>
      <w:r>
        <w:t xml:space="preserve"> </w:t>
      </w:r>
      <w:r>
        <w:t xml:space="preserve">Pathway subnetwork visualizations for the nine curated pain signaling pathways mapped onto RA-PainKG. Each panel shows a single pathway: TRP channels, voltage-gated sodium channels, neurotrophin signaling, opioid signaling, MAPK pathway, JAK-STAT pathway, prostaglandin pathway, complement cascade, and GABA/glycine receptors. Node color indicates track assignment (Track A, Track B, or Dual). Edge directionality indicates known signaling relationships.</w:t>
      </w:r>
    </w:p>
    <w:bookmarkEnd w:id="47"/>
    <w:bookmarkStart w:id="48" w:name="supplementary-materials"/>
    <w:p>
      <w:pPr>
        <w:pStyle w:val="Heading2"/>
      </w:pPr>
      <w:r>
        <w:t xml:space="preserve">Supplementary Materials</w:t>
      </w:r>
    </w:p>
    <w:p>
      <w:pPr>
        <w:pStyle w:val="Compact"/>
        <w:numPr>
          <w:ilvl w:val="0"/>
          <w:numId w:val="1001"/>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1"/>
        </w:numPr>
      </w:pPr>
      <w:r>
        <w:rPr>
          <w:b/>
          <w:bCs/>
        </w:rPr>
        <w:t xml:space="preserve">Table S2:</w:t>
      </w:r>
      <w:r>
        <w:t xml:space="preserve"> </w:t>
      </w:r>
      <w:r>
        <w:t xml:space="preserve">Full edge relation type distribution (all 24 types)</w:t>
      </w:r>
    </w:p>
    <w:p>
      <w:pPr>
        <w:pStyle w:val="Compact"/>
        <w:numPr>
          <w:ilvl w:val="0"/>
          <w:numId w:val="1001"/>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1"/>
        </w:numPr>
      </w:pPr>
      <w:r>
        <w:rPr>
          <w:b/>
          <w:bCs/>
        </w:rPr>
        <w:t xml:space="preserve">Table S4:</w:t>
      </w:r>
      <w:r>
        <w:t xml:space="preserve"> </w:t>
      </w:r>
      <w:r>
        <w:t xml:space="preserve">Multi-split benchmark results for all 11 KG variants</w:t>
      </w:r>
    </w:p>
    <w:p>
      <w:pPr>
        <w:pStyle w:val="Compact"/>
        <w:numPr>
          <w:ilvl w:val="0"/>
          <w:numId w:val="1001"/>
        </w:numPr>
      </w:pPr>
      <w:r>
        <w:rPr>
          <w:b/>
          <w:bCs/>
        </w:rPr>
        <w:t xml:space="preserve">Table S5:</w:t>
      </w:r>
      <w:r>
        <w:t xml:space="preserve"> </w:t>
      </w:r>
      <w:r>
        <w:t xml:space="preserve">Paired statistical comparisons with delta-r confidence intervals</w:t>
      </w:r>
    </w:p>
    <w:p>
      <w:pPr>
        <w:pStyle w:val="Compact"/>
        <w:numPr>
          <w:ilvl w:val="0"/>
          <w:numId w:val="1001"/>
        </w:numPr>
      </w:pPr>
      <w:r>
        <w:rPr>
          <w:b/>
          <w:bCs/>
        </w:rPr>
        <w:t xml:space="preserve">Table S6:</w:t>
      </w:r>
      <w:r>
        <w:t xml:space="preserve"> </w:t>
      </w:r>
      <w:r>
        <w:t xml:space="preserve">KG variant structural characteristics</w:t>
      </w:r>
    </w:p>
    <w:p>
      <w:pPr>
        <w:pStyle w:val="Compact"/>
        <w:numPr>
          <w:ilvl w:val="0"/>
          <w:numId w:val="1001"/>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1"/>
        </w:numPr>
      </w:pPr>
      <w:r>
        <w:rPr>
          <w:b/>
          <w:bCs/>
        </w:rPr>
        <w:t xml:space="preserve">Figure S1-S6:</w:t>
      </w:r>
      <w:r>
        <w:t xml:space="preserve"> </w:t>
      </w:r>
      <w:r>
        <w:t xml:space="preserve">Supplementary figures (degree distribution, track comparison, composition, core network, pathway subnetworks)</w:t>
      </w:r>
    </w:p>
    <w:bookmarkEnd w:id="48"/>
    <w:bookmarkStart w:id="49"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9"/>
    <w:bookmarkStart w:id="50"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50"/>
    <w:bookmarkStart w:id="51"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1"/>
    <w:bookmarkStart w:id="52" w:name="competing-interests"/>
    <w:p>
      <w:pPr>
        <w:pStyle w:val="Heading2"/>
      </w:pPr>
      <w:r>
        <w:t xml:space="preserve">Competing Interests</w:t>
      </w:r>
    </w:p>
    <w:p>
      <w:pPr>
        <w:pStyle w:val="FirstParagraph"/>
      </w:pPr>
      <w:r>
        <w:t xml:space="preserve">The author declares no competing interests.</w:t>
      </w:r>
    </w:p>
    <w:bookmarkEnd w:id="52"/>
    <w:bookmarkStart w:id="53"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3"/>
    <w:bookmarkStart w:id="54"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2026-07-17T18:38:35Z</dcterms:created>
  <dcterms:modified xsi:type="dcterms:W3CDTF">2026-07-17T18:38:35Z</dcterms:modified>
</cp:coreProperties>
</file>

<file path=docProps/custom.xml><?xml version="1.0" encoding="utf-8"?>
<Properties xmlns="http://schemas.openxmlformats.org/officeDocument/2006/custom-properties" xmlns:vt="http://schemas.openxmlformats.org/officeDocument/2006/docPropsVTypes"/>
</file>