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ignificance-statement"/>
    <w:p>
      <w:pPr>
        <w:pStyle w:val="Heading1"/>
      </w:pPr>
      <w:r>
        <w:t xml:space="preserve">Significance Statement</w:t>
      </w:r>
    </w:p>
    <w:bookmarkEnd w:id="20"/>
    <w:p>
      <w:r>
        <w:t>Problem: Existing biological network resources for rheumatoid arthritis pain lack tissue-contextual information, pain-specific pathway organization, and systematic documentation of knowledge gaps.</w:t>
      </w:r>
    </w:p>
    <w:p>
      <w:r>
        <w:t>What is Known: General-purpose resources such as PrimeKG and STRING provide broad biological coverage but do not distinguish pain-specific signaling from general inflammatory pathways. Pain-focused resources curate pain-relevant genes but lack network connectivity and multi-entity integration.</w:t>
      </w:r>
    </w:p>
    <w:p>
      <w:r>
        <w:t>What this Paper Adds: RA-PainKG, a tissue-contextualized dual-track knowledge graph integrating PrimeKG with GTEx v8 expression data and manual curation of 15 functional gene categories spanning nine pain signaling pathways. The resource includes systematic coverage-gap documentation identifying 72 core pain genes (37.5%) absent from existing biomedical knowledge graphs. All nine curated pain pathways are mapped (57-100% gene coverage), and 4,760 drug-target edges enable direct pharmacological queries.</w:t>
      </w:r>
    </w:p>
    <w:p>
      <w:r>
        <w:t>Who Benefits: Pain biology researchers requiring structured, tissue-aware knowledge representations; bioinformaticians developing machine learning models with domain-specific prior knowledge; and knowledge graph curators seeking a reproducible construction framework with transparent knowledge-gap documentation.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2026-07-17T13:09:58Z</dcterms:created>
  <dcterms:modified xsi:type="dcterms:W3CDTF">2026-07-17T13:09:58Z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