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Graphical Abstract</w:t>
      </w:r>
    </w:p>
    <w:p>
      <w:pPr>
        <w:jc w:val="center"/>
      </w:pPr>
      <w:r>
        <w:rPr>
          <w:i/>
          <w:sz w:val="20"/>
        </w:rPr>
        <w:t>Domain-Specific versus Dense Knowledge Graphs for</w:t>
        <w:br/>
        <w:t>Gene Perturbation Prediction: A Multi-Split Ablation Benchmark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223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al_abstr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23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Figure: Multi-split ablation benchmark framework for knowledge graph evaluation.</w:t>
        <w:br/>
        <w:t>Single-split artifact documented, causal evidence via degree-preserving randomization,</w:t>
        <w:br/>
        <w:t>open-source benchmark with paired statistics and sensitivity analyses.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