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ignificance-statement"/>
    <w:p>
      <w:pPr>
        <w:pStyle w:val="Heading1"/>
      </w:pPr>
      <w:r>
        <w:t xml:space="preserve">Significance Statement</w:t>
      </w:r>
    </w:p>
    <w:p>
      <w:pPr>
        <w:pStyle w:val="FirstParagraph"/>
      </w:pPr>
      <w:r>
        <w:rPr>
          <w:i/>
          <w:iCs/>
        </w:rPr>
        <w:t xml:space="preserve">Problem:</w:t>
      </w:r>
      <w:r>
        <w:t xml:space="preserve"> </w:t>
      </w:r>
      <w:r>
        <w:t xml:space="preserve">Knowledge graph (KG) evaluation in gene perturbation prediction relies predominantly on single train/test splits, with no established methodology for separating the effects of graph density from domain-specific edge semantics.</w:t>
      </w:r>
    </w:p>
    <w:p>
      <w:pPr>
        <w:pStyle w:val="BodyText"/>
      </w:pPr>
      <w:r>
        <w:rPr>
          <w:i/>
          <w:iCs/>
        </w:rPr>
        <w:t xml:space="preserve">What is Known:</w:t>
      </w:r>
      <w:r>
        <w:t xml:space="preserve"> </w:t>
      </w:r>
      <w:r>
        <w:t xml:space="preserve">General-purpose KGs such as Gene Ontology improve perturbation prediction, but whether domain-specific KGs confer additional advantages remains unresolved.</w:t>
      </w:r>
    </w:p>
    <w:p>
      <w:pPr>
        <w:pStyle w:val="BodyText"/>
      </w:pPr>
      <w:r>
        <w:rPr>
          <w:i/>
          <w:iCs/>
        </w:rPr>
        <w:t xml:space="preserve">What this Paper Adds:</w:t>
      </w:r>
      <w:r>
        <w:t xml:space="preserve"> </w:t>
      </w:r>
      <w:r>
        <w:t xml:space="preserve">We provide causal evidence, via a multi-split ablation benchmark of 11 KG variants, that graph connectivity—not edge identity—drives linear perturbation prediction. We document a single-split artifact where a domain KG appeared superior but the effect reversed under multi-split averaging, demonstrating that prevailing evaluation practices produce misleading conclusions. The open-source framework includes paired statistics, Kendall’s W ranking consistency, and sensitivity analyses.</w:t>
      </w:r>
    </w:p>
    <w:p>
      <w:pPr>
        <w:pStyle w:val="BodyText"/>
      </w:pPr>
      <w:r>
        <w:rPr>
          <w:i/>
          <w:iCs/>
        </w:rPr>
        <w:t xml:space="preserve">Who Benefits:</w:t>
      </w:r>
      <w:r>
        <w:t xml:space="preserve"> </w:t>
      </w:r>
      <w:r>
        <w:t xml:space="preserve">Biomedical informaticians integrating prior knowledge into machine learning pipelines, KG curators evaluating domain-specific resources, and perturbation prediction method developers seeking rigorous benchmarking standards.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2026-07-16T05:02:03Z</dcterms:created>
  <dcterms:modified xsi:type="dcterms:W3CDTF">2026-07-16T05:02:03Z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