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ignificance-statement"/>
    <w:p>
      <w:pPr>
        <w:pStyle w:val="Heading1"/>
      </w:pPr>
      <w:r>
        <w:t xml:space="preserve">Significance Statement</w:t>
      </w:r>
    </w:p>
    <w:p>
      <w:pPr>
        <w:pStyle w:val="FirstParagraph"/>
      </w:pPr>
      <w:r>
        <w:t xml:space="preserve">This work establishes that single-split knowledge graph (KG) evaluation—the prevailing practice in perturbation prediction benchmarking—produces misleading conclusions. Through a multi-split ablation design with causal controls (degree-preserving randomization, domain-centric reduction), we demonstrate that graph connectivity, not edge semantics, drives prediction performance. The open-source benchmark framework with paired statistics, Kendall’s W ranking consistency, and sensitivity analyses provides a methodological standard for future KG evaluation. These findings apply broadly to biomedical informatics applications where domain-specific prior knowledge is integrated into machine learning pipelines, from drug target prioritization to disease gene discovery.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2026-07-16T04:33:20Z</dcterms:created>
  <dcterms:modified xsi:type="dcterms:W3CDTF">2026-07-16T04:33:20Z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