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pPr>
        <w:pStyle w:val="FirstParagraph"/>
      </w:pPr>
      <w:r>
        <w:t xml:space="preserve">—## Abstract</w:t>
      </w:r>
    </w:p>
    <w:p>
      <w:pPr>
        <w:pStyle w:val="BodyText"/>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organized into Track A (immune-inflammation, 106 genes) and Track B (nociception-pain transduction, 122 genes, with 96 overlapping).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1"/>
    <w:bookmarkStart w:id="30" w:name="materials-and-methods"/>
    <w:p>
      <w:pPr>
        <w:pStyle w:val="Heading2"/>
      </w:pPr>
      <w:r>
        <w:t xml:space="preserve">2. Materials and Methods</w:t>
      </w:r>
    </w:p>
    <w:bookmarkStart w:id="22" w:name="knowledge-graph-construction"/>
    <w:p>
      <w:pPr>
        <w:pStyle w:val="Heading3"/>
      </w:pPr>
      <w:r>
        <w:t xml:space="preserve">2.1 Knowledge Graph Construction</w:t>
      </w:r>
    </w:p>
    <w:p>
      <w:pPr>
        <w:pStyle w:val="FirstParagraph"/>
      </w:pPr>
      <w:r>
        <w:t xml:space="preserve">RA-PainKG was constructed in three stages (detailed protocol in [19]).</w:t>
      </w:r>
    </w:p>
    <w:bookmarkEnd w:id="22"/>
    <w:bookmarkStart w:id="23"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3"/>
    <w:bookmarkStart w:id="24"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4"/>
    <w:bookmarkStart w:id="25"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5"/>
    <w:bookmarkStart w:id="26" w:name="gene-embedding-and-prediction-model"/>
    <w:p>
      <w:pPr>
        <w:pStyle w:val="Heading3"/>
      </w:pPr>
      <w:r>
        <w:t xml:space="preserve">2.5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[21],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2.6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(Supplementary Table S5),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2.7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2.8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4" w:name="results"/>
    <w:p>
      <w:pPr>
        <w:pStyle w:val="Heading2"/>
      </w:pPr>
      <w:r>
        <w:t xml:space="preserve">3. Results</w:t>
      </w:r>
    </w:p>
    <w:bookmarkStart w:id="31"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1"/>
    <w:bookmarkStart w:id="32"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2"/>
    <w:bookmarkStart w:id="33"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3"/>
    <w:bookmarkEnd w:id="34"/>
    <w:bookmarkStart w:id="41" w:name="discussion"/>
    <w:p>
      <w:pPr>
        <w:pStyle w:val="Heading2"/>
      </w:pPr>
      <w:r>
        <w:t xml:space="preserve">4. Discussion</w:t>
      </w:r>
    </w:p>
    <w:bookmarkStart w:id="35"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5"/>
    <w:bookmarkStart w:id="36"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While resources such as the IUPHAR/BPS Guide to Pharmacology [14] acknowledge incomplete coverage in narrative form, systematic per-gene gap documentation with categorized absence reasons is rarely implemented. We argue this practice represents a methodological contribution for transparent resource development.</w:t>
      </w:r>
    </w:p>
    <w:bookmarkEnd w:id="36"/>
    <w:bookmarkStart w:id="37"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7"/>
    <w:bookmarkStart w:id="38"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8"/>
    <w:bookmarkStart w:id="39"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9"/>
    <w:bookmarkStart w:id="40"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40"/>
    <w:bookmarkEnd w:id="41"/>
    <w:bookmarkStart w:id="47"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2">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3"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3"/>
    <w:bookmarkStart w:id="44"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4"/>
    <w:bookmarkStart w:id="45"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spinal </w:t>
      </w:r>
      <w:r>
        <w:rPr>
          <w:rStyle w:val="OperatorTok"/>
        </w:rPr>
        <w:t xml:space="preserve">=</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tibial </w:t>
      </w:r>
      <w:r>
        <w:rPr>
          <w:rStyle w:val="OperatorTok"/>
        </w:rPr>
        <w:t xml:space="preserve">=</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gene</w:t>
      </w:r>
      <w:r>
        <w:rPr>
          <w:rStyle w:val="SpecialCharTok"/>
        </w:rPr>
        <w:t xml:space="preserve">}</w:t>
      </w:r>
      <w:r>
        <w:rPr>
          <w:rStyle w:val="SpecialStringTok"/>
        </w:rPr>
        <w:t xml:space="preserve">: Spinal=</w:t>
      </w:r>
      <w:r>
        <w:rPr>
          <w:rStyle w:val="SpecialCharTok"/>
        </w:rPr>
        <w:t xml:space="preserve">{</w:t>
      </w:r>
      <w:r>
        <w:rPr>
          <w:rStyle w:val="NormalTok"/>
        </w:rPr>
        <w:t xml:space="preserve">spinal</w:t>
      </w:r>
      <w:r>
        <w:rPr>
          <w:rStyle w:val="SpecialCharTok"/>
        </w:rPr>
        <w:t xml:space="preserve">}</w:t>
      </w:r>
      <w:r>
        <w:rPr>
          <w:rStyle w:val="SpecialStringTok"/>
        </w:rPr>
        <w:t xml:space="preserve">, Tibial=</w:t>
      </w:r>
      <w:r>
        <w:rPr>
          <w:rStyle w:val="SpecialCharTok"/>
        </w:rPr>
        <w:t xml:space="preserve">{</w:t>
      </w:r>
      <w:r>
        <w:rPr>
          <w:rStyle w:val="NormalTok"/>
        </w:rPr>
        <w:t xml:space="preserve">tibial</w:t>
      </w:r>
      <w:r>
        <w:rPr>
          <w:rStyle w:val="SpecialCharTok"/>
        </w:rPr>
        <w:t xml:space="preserve">}</w:t>
      </w:r>
      <w:r>
        <w:rPr>
          <w:rStyle w:val="SpecialStringTok"/>
        </w:rPr>
        <w:t xml:space="preserve">"</w:t>
      </w:r>
      <w:r>
        <w:rPr>
          <w:rStyle w:val="NormalTok"/>
        </w:rPr>
        <w:t xml:space="preserve">)</w:t>
      </w:r>
    </w:p>
    <w:bookmarkEnd w:id="45"/>
    <w:bookmarkStart w:id="46"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6"/>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relation distribution (bar chart, top 10 of 24 relation types) in RA-PainKG. Protein-protein interactions account for 2,400 edges (1.9%), with the remaining 124,826 edges distributed across pathway, bioprocess, drug-target, and other relation types.</w:t>
      </w:r>
    </w:p>
    <w:p>
      <w:pPr>
        <w:pStyle w:val="BodyText"/>
      </w:pPr>
      <w:r>
        <w:rPr>
          <w:b/>
          <w:bCs/>
        </w:rPr>
        <w:t xml:space="preserve">Figure 5.</w:t>
      </w:r>
      <w:r>
        <w:t xml:space="preserve"> </w:t>
      </w:r>
      <w:r>
        <w:t xml:space="preserve">Core signaling network visualization showing the top 50 hub nodes and their interconnections. Node color indicates track assignment.</w:t>
      </w:r>
    </w:p>
    <w:p>
      <w:pPr>
        <w:pStyle w:val="BodyText"/>
      </w:pPr>
      <w:r>
        <w:rPr>
          <w:b/>
          <w:bCs/>
        </w:rPr>
        <w:t xml:space="preserve">Figure 6.</w:t>
      </w:r>
      <w:r>
        <w:t xml:space="preserve"> </w:t>
      </w:r>
      <w:r>
        <w:t xml:space="preserve">Pathway subnetwork visualizations for the nine curated pain signaling pathways mapped onto RA-PainKG. Each panel shows a single pathway: TRP channels, voltage-gated sodium channels, neurotrophin signaling, opioid signaling, MAPK pathway, JAK-STAT pathway, prostaglandin pathway, complement cascade, and GABA/glycine receptors. Node color indicates track assignment (Track A, Track B, or Dual). Edge directionality indicates known signaling relationships.</w:t>
      </w:r>
    </w:p>
    <w:bookmarkEnd w:id="48"/>
    <w:bookmarkStart w:id="49" w:name="supplementary-materials"/>
    <w:p>
      <w:pPr>
        <w:pStyle w:val="Heading2"/>
      </w:pPr>
      <w:r>
        <w:t xml:space="preserve">Supplementary Materials</w:t>
      </w:r>
    </w:p>
    <w:p>
      <w:pPr>
        <w:pStyle w:val="Compact"/>
        <w:numPr>
          <w:ilvl w:val="0"/>
          <w:numId w:val="1002"/>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2"/>
        </w:numPr>
      </w:pPr>
      <w:r>
        <w:rPr>
          <w:b/>
          <w:bCs/>
        </w:rPr>
        <w:t xml:space="preserve">Table S2:</w:t>
      </w:r>
      <w:r>
        <w:t xml:space="preserve"> </w:t>
      </w:r>
      <w:r>
        <w:t xml:space="preserve">Full edge relation type distribution (all 24 types)</w:t>
      </w:r>
    </w:p>
    <w:p>
      <w:pPr>
        <w:pStyle w:val="Compact"/>
        <w:numPr>
          <w:ilvl w:val="0"/>
          <w:numId w:val="1002"/>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2"/>
        </w:numPr>
      </w:pPr>
      <w:r>
        <w:rPr>
          <w:b/>
          <w:bCs/>
        </w:rPr>
        <w:t xml:space="preserve">Table S4:</w:t>
      </w:r>
      <w:r>
        <w:t xml:space="preserve"> </w:t>
      </w:r>
      <w:r>
        <w:t xml:space="preserve">Multi-split benchmark results for all 11 KG variants</w:t>
      </w:r>
    </w:p>
    <w:p>
      <w:pPr>
        <w:pStyle w:val="Compact"/>
        <w:numPr>
          <w:ilvl w:val="0"/>
          <w:numId w:val="1002"/>
        </w:numPr>
      </w:pPr>
      <w:r>
        <w:rPr>
          <w:b/>
          <w:bCs/>
        </w:rPr>
        <w:t xml:space="preserve">Table S5:</w:t>
      </w:r>
      <w:r>
        <w:t xml:space="preserve"> </w:t>
      </w:r>
      <w:r>
        <w:t xml:space="preserve">Paired statistical comparisons with delta-r confidence intervals</w:t>
      </w:r>
    </w:p>
    <w:p>
      <w:pPr>
        <w:pStyle w:val="Compact"/>
        <w:numPr>
          <w:ilvl w:val="0"/>
          <w:numId w:val="1002"/>
        </w:numPr>
      </w:pPr>
      <w:r>
        <w:rPr>
          <w:b/>
          <w:bCs/>
        </w:rPr>
        <w:t xml:space="preserve">Table S6:</w:t>
      </w:r>
      <w:r>
        <w:t xml:space="preserve"> </w:t>
      </w:r>
      <w:r>
        <w:t xml:space="preserve">KG variant structural characteristics</w:t>
      </w:r>
    </w:p>
    <w:p>
      <w:pPr>
        <w:pStyle w:val="Compact"/>
        <w:numPr>
          <w:ilvl w:val="0"/>
          <w:numId w:val="1002"/>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2"/>
        </w:numPr>
      </w:pPr>
      <w:r>
        <w:rPr>
          <w:b/>
          <w:bCs/>
        </w:rPr>
        <w:t xml:space="preserve">Figure S1-S6:</w:t>
      </w:r>
      <w:r>
        <w:t xml:space="preserve"> </w:t>
      </w:r>
      <w:r>
        <w:t xml:space="preserve">Supplementary figures (degree distribution, track comparison, composition, core network, pathway subnetworks)</w:t>
      </w:r>
    </w:p>
    <w:bookmarkEnd w:id="49"/>
    <w:bookmarkStart w:id="50"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50"/>
    <w:bookmarkStart w:id="51"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1"/>
    <w:bookmarkStart w:id="52"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2"/>
    <w:bookmarkStart w:id="53" w:name="competing-interests"/>
    <w:p>
      <w:pPr>
        <w:pStyle w:val="Heading2"/>
      </w:pPr>
      <w:r>
        <w:t xml:space="preserve">Competing Interests</w:t>
      </w:r>
    </w:p>
    <w:p>
      <w:pPr>
        <w:pStyle w:val="FirstParagraph"/>
      </w:pPr>
      <w:r>
        <w:t xml:space="preserve">The author declares no competing interests.</w:t>
      </w:r>
    </w:p>
    <w:bookmarkEnd w:id="53"/>
    <w:bookmarkStart w:id="54"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4"/>
    <w:bookmarkStart w:id="55"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2026-07-17T18:27:55Z</dcterms:created>
  <dcterms:modified xsi:type="dcterms:W3CDTF">2026-07-17T18:27:55Z</dcterms:modified>
</cp:coreProperties>
</file>

<file path=docProps/custom.xml><?xml version="1.0" encoding="utf-8"?>
<Properties xmlns="http://schemas.openxmlformats.org/officeDocument/2006/custom-properties" xmlns:vt="http://schemas.openxmlformats.org/officeDocument/2006/docPropsVTypes"/>
</file>