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r>
        <w:pict>
          <v:rect style="width:0;height:1.5pt" o:hralign="center" o:hrstd="t" o:hr="t"/>
        </w:pict>
      </w:r>
    </w:p>
    <w:bookmarkEnd w:id="20"/>
    <w:bookmarkEnd w:id="21"/>
    <w:bookmarkStart w:id="57" w:name="X63e6a6862059b0260bd199739e2746e8e8dce7b"/>
    <w:p>
      <w:pPr>
        <w:pStyle w:val="Heading1"/>
      </w:pPr>
      <w:r>
        <w:t xml:space="preserve">RA-PainKG: Construction, Coverage-Gap Documentation, and Benchmark Validation of a Tissue-Contextualized Knowledge Graph for Rheumatoid Arthritis Pain Signaling</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Rheumatoid arthritis (RA) affects approximately 1% of the global population,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but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organized into Track A (immune-inflammation, 106 genes) and Track B (nociception-pain transduction, 122 genes, with 96 overlapping).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3"/>
    <w:bookmarkStart w:id="32" w:name="materials-and-methods"/>
    <w:p>
      <w:pPr>
        <w:pStyle w:val="Heading2"/>
      </w:pPr>
      <w:r>
        <w:t xml:space="preserve">2. Materials and Methods</w:t>
      </w:r>
    </w:p>
    <w:bookmarkStart w:id="24" w:name="knowledge-graph-construction"/>
    <w:p>
      <w:pPr>
        <w:pStyle w:val="Heading3"/>
      </w:pPr>
      <w:r>
        <w:t xml:space="preserve">2.1 Knowledge Graph Construction</w:t>
      </w:r>
    </w:p>
    <w:p>
      <w:pPr>
        <w:pStyle w:val="FirstParagraph"/>
      </w:pPr>
      <w:r>
        <w:t xml:space="preserve">RA-PainKG was constructed in three stages (detailed protocol in [19]).</w:t>
      </w:r>
    </w:p>
    <w:bookmarkEnd w:id="24"/>
    <w:bookmarkStart w:id="25"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5"/>
    <w:bookmarkStart w:id="26"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6"/>
    <w:bookmarkStart w:id="27"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7"/>
    <w:bookmarkStart w:id="28" w:name="gene-embedding-and-prediction-model"/>
    <w:p>
      <w:pPr>
        <w:pStyle w:val="Heading3"/>
      </w:pPr>
      <w:r>
        <w:t xml:space="preserve">2.5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[21],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8"/>
    <w:bookmarkStart w:id="29" w:name="evaluation-protocol"/>
    <w:p>
      <w:pPr>
        <w:pStyle w:val="Heading3"/>
      </w:pPr>
      <w:r>
        <w:t xml:space="preserve">2.6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(Supplementary Table S5),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9"/>
    <w:bookmarkStart w:id="30" w:name="k562-pain-gene-expression-quantification"/>
    <w:p>
      <w:pPr>
        <w:pStyle w:val="Heading3"/>
      </w:pPr>
      <w:r>
        <w:t xml:space="preserve">2.7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30"/>
    <w:bookmarkStart w:id="31" w:name="implementation"/>
    <w:p>
      <w:pPr>
        <w:pStyle w:val="Heading3"/>
      </w:pPr>
      <w:r>
        <w:t xml:space="preserve">2.8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31"/>
    <w:bookmarkEnd w:id="32"/>
    <w:bookmarkStart w:id="36" w:name="results"/>
    <w:p>
      <w:pPr>
        <w:pStyle w:val="Heading2"/>
      </w:pPr>
      <w:r>
        <w:t xml:space="preserve">3. Results</w:t>
      </w:r>
    </w:p>
    <w:bookmarkStart w:id="33"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33"/>
    <w:bookmarkStart w:id="34"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4"/>
    <w:bookmarkStart w:id="35"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5"/>
    <w:bookmarkEnd w:id="36"/>
    <w:bookmarkStart w:id="43" w:name="discussion"/>
    <w:p>
      <w:pPr>
        <w:pStyle w:val="Heading2"/>
      </w:pPr>
      <w:r>
        <w:t xml:space="preserve">4. Discussion</w:t>
      </w:r>
    </w:p>
    <w:bookmarkStart w:id="37"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7"/>
    <w:bookmarkStart w:id="38"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uncommon in the biomedical database literature. While resources such as the IUPHAR/BPS Guide to Pharmacology [14] acknowledge incomplete coverage in narrative form, systematic per-gene gap documentation with categorized absence reasons is rarely implemented. We argue this practice represents a methodological contribution for transparent resource development.</w:t>
      </w:r>
    </w:p>
    <w:bookmarkEnd w:id="38"/>
    <w:bookmarkStart w:id="39"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only publicly available genome-scale Perturb-seq dataset with sufficient coverage to run a controlled multi-split benchmark.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9"/>
    <w:bookmarkStart w:id="40"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p>
      <w:pPr>
        <w:pStyle w:val="BodyText"/>
      </w:pPr>
      <w:r>
        <w:rPr>
          <w:b/>
          <w:bCs/>
        </w:rPr>
        <w:t xml:space="preserve">Validation scope:</w:t>
      </w:r>
      <w:r>
        <w:t xml:space="preserve"> </w:t>
      </w:r>
      <w:r>
        <w:t xml:space="preserve">Benchmark validation is limited to K562 cells. Replication in disease-relevant cell types is essential before drawing conclusions about domain KG utility for pain biology applications.</w:t>
      </w:r>
    </w:p>
    <w:bookmarkEnd w:id="40"/>
    <w:bookmarkStart w:id="41"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41"/>
    <w:bookmarkStart w:id="42"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 Transparent benchmark validation establishes honest boundary conditions,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p>
      <w:r>
        <w:pict>
          <v:rect style="width:0;height:1.5pt" o:hralign="center" o:hrstd="t" o:hr="t"/>
        </w:pict>
      </w:r>
    </w:p>
    <w:bookmarkEnd w:id="42"/>
    <w:bookmarkEnd w:id="43"/>
    <w:bookmarkStart w:id="48"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 RA_PainKG_final.pkl from the GitHub repository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4"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4"/>
    <w:bookmarkStart w:id="45"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5"/>
    <w:bookmarkStart w:id="46"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spinal </w:t>
      </w:r>
      <w:r>
        <w:rPr>
          <w:rStyle w:val="OperatorTok"/>
        </w:rPr>
        <w:t xml:space="preserve">=</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tibial </w:t>
      </w:r>
      <w:r>
        <w:rPr>
          <w:rStyle w:val="OperatorTok"/>
        </w:rPr>
        <w:t xml:space="preserve">=</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gene</w:t>
      </w:r>
      <w:r>
        <w:rPr>
          <w:rStyle w:val="SpecialCharTok"/>
        </w:rPr>
        <w:t xml:space="preserve">}</w:t>
      </w:r>
      <w:r>
        <w:rPr>
          <w:rStyle w:val="SpecialStringTok"/>
        </w:rPr>
        <w:t xml:space="preserve">: Spinal=</w:t>
      </w:r>
      <w:r>
        <w:rPr>
          <w:rStyle w:val="SpecialCharTok"/>
        </w:rPr>
        <w:t xml:space="preserve">{</w:t>
      </w:r>
      <w:r>
        <w:rPr>
          <w:rStyle w:val="NormalTok"/>
        </w:rPr>
        <w:t xml:space="preserve">spinal</w:t>
      </w:r>
      <w:r>
        <w:rPr>
          <w:rStyle w:val="SpecialCharTok"/>
        </w:rPr>
        <w:t xml:space="preserve">}</w:t>
      </w:r>
      <w:r>
        <w:rPr>
          <w:rStyle w:val="SpecialStringTok"/>
        </w:rPr>
        <w:t xml:space="preserve">, Tibial=</w:t>
      </w:r>
      <w:r>
        <w:rPr>
          <w:rStyle w:val="SpecialCharTok"/>
        </w:rPr>
        <w:t xml:space="preserve">{</w:t>
      </w:r>
      <w:r>
        <w:rPr>
          <w:rStyle w:val="NormalTok"/>
        </w:rPr>
        <w:t xml:space="preserve">tibial</w:t>
      </w:r>
      <w:r>
        <w:rPr>
          <w:rStyle w:val="SpecialCharTok"/>
        </w:rPr>
        <w:t xml:space="preserve">}</w:t>
      </w:r>
      <w:r>
        <w:rPr>
          <w:rStyle w:val="SpecialStringTok"/>
        </w:rPr>
        <w:t xml:space="preserve">"</w:t>
      </w:r>
      <w:r>
        <w:rPr>
          <w:rStyle w:val="NormalTok"/>
        </w:rPr>
        <w:t xml:space="preserve">)</w:t>
      </w:r>
    </w:p>
    <w:bookmarkEnd w:id="46"/>
    <w:bookmarkStart w:id="47"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7"/>
    <w:bookmarkEnd w:id="48"/>
    <w:bookmarkStart w:id="49"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and Track B (nociception-pain transduction) gene subsets.</w:t>
      </w:r>
    </w:p>
    <w:p>
      <w:pPr>
        <w:pStyle w:val="BodyText"/>
      </w:pPr>
      <w:r>
        <w:rPr>
          <w:b/>
          <w:bCs/>
        </w:rPr>
        <w:t xml:space="preserve">Figure 4.</w:t>
      </w:r>
      <w:r>
        <w:t xml:space="preserve"> </w:t>
      </w:r>
      <w:r>
        <w:t xml:space="preserve">Node type composition and edge relation distribution in RA-PainKG. The graph spans 10 entity types and 24 relation types.</w:t>
      </w:r>
    </w:p>
    <w:p>
      <w:pPr>
        <w:pStyle w:val="BodyText"/>
      </w:pPr>
      <w:r>
        <w:rPr>
          <w:b/>
          <w:bCs/>
        </w:rPr>
        <w:t xml:space="preserve">Figure 5.</w:t>
      </w:r>
      <w:r>
        <w:t xml:space="preserve"> </w:t>
      </w:r>
      <w:r>
        <w:t xml:space="preserve">Core signaling network visualization showing the top 50 hub nodes and their interconnections. Node color indicates track assignment.</w:t>
      </w:r>
    </w:p>
    <w:p>
      <w:pPr>
        <w:pStyle w:val="BodyText"/>
      </w:pPr>
      <w:r>
        <w:rPr>
          <w:b/>
          <w:bCs/>
        </w:rPr>
        <w:t xml:space="preserve">Figure 6.</w:t>
      </w:r>
      <w:r>
        <w:t xml:space="preserve"> </w:t>
      </w:r>
      <w:r>
        <w:t xml:space="preserve">Pathway subnetwork visualizations for nine curated pain signaling pathways mapped onto RA-PainKG.</w:t>
      </w:r>
    </w:p>
    <w:bookmarkEnd w:id="49"/>
    <w:bookmarkStart w:id="50"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50"/>
    <w:bookmarkStart w:id="51"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1"/>
    <w:bookmarkStart w:id="52"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2"/>
    <w:bookmarkStart w:id="53" w:name="competing-interests"/>
    <w:p>
      <w:pPr>
        <w:pStyle w:val="Heading2"/>
      </w:pPr>
      <w:r>
        <w:t xml:space="preserve">Competing Interests</w:t>
      </w:r>
    </w:p>
    <w:p>
      <w:pPr>
        <w:pStyle w:val="FirstParagraph"/>
      </w:pPr>
      <w:r>
        <w:t xml:space="preserve">The author declares no competing interests.</w:t>
      </w:r>
    </w:p>
    <w:bookmarkEnd w:id="53"/>
    <w:bookmarkStart w:id="54"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4"/>
    <w:bookmarkStart w:id="55"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5"/>
    <w:bookmarkStart w:id="56"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2026-07-17T18:22:56Z</dcterms:created>
  <dcterms:modified xsi:type="dcterms:W3CDTF">2026-07-17T18:22:56Z</dcterms:modified>
</cp:coreProperties>
</file>

<file path=docProps/custom.xml><?xml version="1.0" encoding="utf-8"?>
<Properties xmlns="http://schemas.openxmlformats.org/officeDocument/2006/custom-properties" xmlns:vt="http://schemas.openxmlformats.org/officeDocument/2006/docPropsVTypes"/>
</file>