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/>
          <w:b/>
          <w:i w:val="0"/>
          <w:sz w:val="26"/>
        </w:rPr>
        <w:t>Life Sciences Reporting Summary (Scientific Reports / Nature Portfolio)</w:t>
      </w:r>
    </w:p>
    <w:p>
      <w:pPr>
        <w:spacing w:before="0" w:after="160"/>
      </w:pPr>
      <w:r>
        <w:rPr>
          <w:rFonts w:ascii="Times New Roman" w:hAnsi="Times New Roman"/>
          <w:b w:val="0"/>
          <w:i/>
          <w:sz w:val="18"/>
        </w:rPr>
        <w:t>DRAFT — to be finalised by the author in the journal's online form. Fields marked [AUTHOR] require input that only the submitting author can supply; they are not fabricated.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2"/>
        </w:rPr>
        <w:t>Study design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</w:rPr>
        <w:t>Study type: Observational / in-silico re-analysis of public transcriptomic cohorts (GSE65682, E-MTAB-4451) plus two-sample Mendelian randomisation.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</w:rPr>
        <w:t>Research sample: 802 GSE65682 samples (760 sepsis / 42 healthy controls) and 106 E-MTAB-4451 severe-sepsis samples.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</w:rPr>
        <w:t>Data deposition: All analysis code and result tables are in the versioned repository (tag v1.19.1); raw inputs are regenerable from GEO / ArrayExpress.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2"/>
        </w:rPr>
        <w:t>Samples &amp; biological materials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</w:rPr>
        <w:t>Human data: de-identified public deposits; no new primary samples generated.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</w:rPr>
        <w:t>Ethics: Public, de-identified, aggregate data; analysis exempt from local IRB per the manuscript Ethics statement. [AUTHOR: confirm whether your institution requires a specific exemption letter]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2"/>
        </w:rPr>
        <w:t>Methods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</w:rPr>
        <w:t>Differential expression: limma (linear models, empirical Bayes).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</w:rPr>
        <w:t>Hub detection: tri-method ML consensus (LASSO / random forest / univariate) plus WGCNA-style co-expression.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</w:rPr>
        <w:t>Validation: external cross-platform cohort (E-MTAB-4451), AUC with DeLong CI.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</w:rPr>
        <w:t>MR: TwoSampleMR, IVW primary, MR-Egger / weighted median sensitivity, t-distributed p.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2"/>
        </w:rPr>
        <w:t>Reporting standards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</w:rPr>
        <w:t>STROBE-MR checklist: provided as Supplementary Table S12.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</w:rPr>
        <w:t>No blinding / randomisation (observational re-analysis).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2"/>
        </w:rPr>
        <w:t>Statistics &amp; reproducibility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</w:rPr>
        <w:t>Randomisation: not applicable (observational).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</w:rPr>
        <w:t>Blinding: not applicable.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</w:rPr>
        <w:t>Sample-size rationale: fixed by public-cohort availability.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</w:rPr>
        <w:t>Software: Python 3.13, R 4.x; exact versions in the repository CITATION.cff.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2"/>
        </w:rPr>
        <w:t>Data availability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</w:rPr>
        <w:t>Repository: https://github.com/yyx-4113/sepsis-immunoparalysis-hub (tag v1.19.1).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</w:rPr>
        <w:t>Zenodo DOI: 10.5281/zenodo.23042366.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