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Supporting Information</w:t>
      </w:r>
    </w:p>
    <w:p>
      <w:pPr>
        <w:spacing w:before="0" w:after="200"/>
      </w:pPr>
      <w:r>
        <w:rPr>
          <w:rFonts w:ascii="Times New Roman" w:hAnsi="Times New Roman"/>
          <w:b w:val="0"/>
          <w:i/>
          <w:sz w:val="22"/>
        </w:rPr>
        <w:t>A reproducible pipeline confirms the MARS Mars1 immunoparalysis program and externally evaluates a 30-gene sepsis prognostic signature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S01. Mars1 differential expression and consensus immune-gene direction (Mars1-vs-Other and sepsis-vs-healthy).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S01_deg_sepsis_vs_ctrl.csv: 11520 rows — too large to embed. The full table is deposited at 03_results/S01_deg_sepsis_vs_ctrl.csv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P.Value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DEG_0.3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direction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2.220446049250313e-16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7.549516567451064e-14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3.0915936477526884e-11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1.0733325339629118e-10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2.2018291634395837e-09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2.9901603415538602e-09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1.25342809909057e-07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1.8436930027121434e-07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1.3328753052377351e-06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1.9160530075890136e-06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4.484055314613045e-06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0.0001424860988854526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0.00047629223701384227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0.0005305246000375519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0.001188638511847806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0.002171092604474456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0.013721022993114618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0.0279126521430344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0.034875822533285694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0.06487890328615364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0.09476542126293142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0.5241219604424721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03_results/S01_immunoparalysis_direction.csv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-0.4089485712125738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0.011415758024331634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03_results/S01_immunoparalysis_genes_in_mars1.csv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S01_mars1_deg.csv: 11520 rows — too large to embed. The full table is deposited at 03_results/S01_mars1_deg.csv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S01_mars1_deg_endotypeonly.csv: 11520 rows — too large to embed. The full table is deposited at 03_results/S01_mars1_deg_endotypeonly.csv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mars_bin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-1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Other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03_results/S01_mars1_stratification.csv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S02. Immune-function score by MARS endotype.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S02 / S02_immunoparalysis_score.csv: 803 rows — too large to embed. The full table is deposited at 03_results/S02_immunoparalysis_score.csv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S04. Curated immune-gene sets (see deposited gene-set files and §2.4).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S05. Hub-gene selection (LASSO / RF / univariate consensus) and the FIS1 co-expression passenger (see 03_results/S05_hub_genes.csv).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S06. 30-gene signature genes and cross-validated AUC; hub death association.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auc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(CV)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0.6585575829768802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(train)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0.7495073299687576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 endotype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0.5781903388608508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benchmark(E-MTAB-4451)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benchmark(GSE65682)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0.648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03_results/S06_auc_compare.csv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mars1_logFC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or_per_sd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predicted_mr_direction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observed_mr_or_ivw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concordant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[1.08,1.66]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0.00735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harmful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[0.54,0.84]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[0.59,0.93]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[0.59,0.89]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0.00252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-0.610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[0.57,0.86]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0.000648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[0.65,1.02]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03_results/S06_hub_death_association.csv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abs_r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ELANE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-0.16679024580972196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0.16679024580972196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-0.16349465126881005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0.16349465126881005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-0.16150894865158444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0.16150894865158444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-0.16066941247595257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0.16066941247595257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CCL5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-0.15882425900782726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0.15882425900782726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MPO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MYD88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-0.14388554109378812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0.14388554109378812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-0.1436425236277017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0.1436425236277017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-0.14089181622083716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0.14089181622083716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-0.14045597135928337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0.14045597135928337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-0.14044329192961444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0.14044329192961444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-0.1375068522440374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0.1375068522440374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-0.13729109368513315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0.13729109368513315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-0.13238754675328662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0.13238754675328662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NFKB1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-0.1296509314570891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0.1296509314570891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-0.12927372019378489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0.12927372019378489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-0.12290815650313465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0.12290815650313465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-0.11790917753673205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0.11790917753673205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TNF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-0.11774955985005923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0.11774955985005923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CR1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-0.11729197040349931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0.11729197040349931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-0.10974768733445696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0.10974768733445696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SPI1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-0.1022666145271754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0.1022666145271754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-0.09980133390795472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0.09980133390795472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-0.09859137890226884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0.09859137890226884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MARCO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-0.09732130240378832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0.09732130240378832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-0.09609829384546931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0.09609829384546931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-0.09584758869315217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0.09584758869315217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-0.09436072171299656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0.09436072171299656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S100A8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03_results/S06_signature_genes.csv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S07. Hub and axis cellular-context marker-module correlations (see 03_results/07_hub_celltype.csv).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S08. Mechanism-anchored repositioning shortlist, positive-control check, and L1000 reverse-connectivity scores.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candidate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rescue_z_vs_background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rank_empirical_p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background_mean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background_sd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BRD-K74501079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0.10265162786397891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0.44878263851467204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BRD-A17883755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0.5577138525220565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0.266104933130848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03_results/S08_l1000_candidate_scores.csv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canonical_smiles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pubchem_cid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BRD-K25841245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0.2464106137102301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1.155768225934226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CC[C@H](C)C(=O)O[C@H]1C[C@H](O)C=C2C=C[C@H](C)[C@H](CC[C@@H](O)C[C@@H](O)CC(O)=O)[C@H]12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22833647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0.0008328026257776907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BRD-K11528507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0.2370287911458448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1.111763577522367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CO[C@H]1C[C@H](C)CC2=C(OC)C(=O)C=C(NC(=O)\C(C)=C\C=C/[C@H](OC)[C@@H](OC(N)=O)\C(C)=C\[C@H](C)[C@H]1O)C2=O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geldanamycin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0.0012247097437907215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BRD-K13571841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0.158888415856795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0.7452527297880903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CC(C)C[C@H](NC(=O)[C@H](C)NC(=O)C[C@H](O)[C@H](CC(C)C)NC(=O)[C@@H](NC(=O)[C@@H](NC(=O)CC(C)C)C(C)C)C(C)C)[C@@H](O)CC(O)=O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pepstatin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0.01724391319257336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BRD-K83988098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0.1454130061949143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0.6820474559399283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CO[C@H]1C[C@H](C)CC2=C(NCCN(C)C)C(=O)C=C(NC(=O)\C(C)=C\C=C/[C@H](OC)[C@@H](OC(N)=O)\C(C)=C\[C@H](C)[C@H]1O)C2=O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5288674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alvespimycin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0.024837113604075835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BRD-K68386748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0.1357054886492815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0.6365151626551299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ClC(Cl)=C(Cl)Cl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31373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tetrachloroethylene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0.032626267574584825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CMAP-T2DTUNICAMYCIN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0.131345493888313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0.6160649745155358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0.03674129231372165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750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BRD-A56702968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0.1220269591519328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0.5723571723295554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C[C@H]1O[C@@H](OC2CC(O)C(C(O)CC(=O)CC(O)C(O)CCC(O)CC(O)CC(O)CC(=O)OC(C)C(C)C(O)C(C)C=CC=CCCC=CC=CC=CC=C2)C(=O)O)[C@@H](O)[C@@H](N)[C@@H]1O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71312688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nystatin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0.04580414441777299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935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BRD-K08229828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0.1215132276217142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0.5699475578639002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CC[C@H](C)C(=O)O[C@H]1CCC=C2C=C[C@H](C)[C@H](CC[C@@H]3C[C@@H](O)CCO3)[C@@H]12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29922189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0.04668593543330231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953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BRD-K39716612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0.10093247348612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0.4734152643172579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CC(C)n1c(C=C[C@H](O)C[C@H](O)CC(O)=O)c(-c2ccc(F)cc2)c2ccccc12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1548972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0.0767158183510508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BRD-K70578146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0.098871188934403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0.4637469827704041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CC(C)[C@H]1NC(=O)[C@@H](NC(=O)c2ccc(C)c3oc4c(C)c(=O)c(N)c(C(=O)N[C@H]5[C@@H](C)OC(=O)[C@H](C(C)C)N(C)C(=O)CN(C)C(=O)[C@@H]6CCCN6C(=O)[C@H](NC5=O)C(C)C)c4nc23)[C@@H](C)OC(=O)[C@H](C(C)C)N(C)C(=O)CN(C)C(=O)[C@@H]2CCCN2C1=O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457193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0.08058590114142948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1645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BRD-K32403583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0.098449215744481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0.4617677530701709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40488233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0.08132072698770391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1660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BRD-K16485616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0.0976331486846462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0.4579400592716489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Nc1ccccc1NC(=O)c1ccc(CNc2nccc(n2)-c2cccnc2)cc1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9865515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mocetinostat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0.08313329740851418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BRD-K28026280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0.0974075997417623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0.4568821409553346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CCC(C)(C)C(=O)O[C@H]1C[C@@H](C)C=C2C=C[C@H](C)[C@@H](CC[C@@H]3C[C@@H](O)CC(=O)O3)[C@H]12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simvastatin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0.08347621613677558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BRD-K29313308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0.0971167873252522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0.4555181098137831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CC(=O)Nc1ccc(cc1)C(=O)Nc1ccc(F)cc1N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HDAC3-selective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0.08372115808553372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BRD-M15413738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0.0967519111705549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0.4538066889474074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CN[C@H]1[C@H](O)[C@@H](O)[C@H](CO)O[C@H]1O[C@H]2[C@H](O[C@@H]3[C@@H](O)[C@H](O)[C@@H](NC(=N)N)[C@H](O)[C@H]3NC(=N)N)O[C@@H](C)[C@]2(O)CO.CN[C@H]1[C@H](O)[C@@H](O)[C@H](CO)O[C@H]1O[C@H]2[C@H](O[C@@H]3[C@@H](O)[C@H](O)[C@@H](NC(=N)N)[C@H](O)[C@H]3NC(=N)N)O[C@@H](C)[C@]2(O)CO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dihydrostreptomycin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0.08426003037280165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1720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BRD-K08327065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0.0949095948175948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0.4451654592909031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NC[C@H]1O[C@H](O[C@@H]2[C@@H](N)C[C@@H](N)[C@H](O[C@H]3O[C@H](CO)[C@@H](O)[C@H](N)[C@H]3O)[C@H]2O)[C@H](O)[C@@H](O)[C@@H]1O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6032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0.08808112477342869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1798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BRD-A11702965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0.0948252488266337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0.4447698415256213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CO[C@@H]([C@H]1Cc2cc3cc(OC4CC(OC5CC(O)C(OC)C(C)O5)C(OC(C)=O)C(C)O4)c(C)c(O)c3c(O)c2C(=O)[C@H]1OC1CC(OC2CC(OC3CC(C)(O)C(C)C(C)O3)C(O)C(C)O2)C(O)C(C)O1)C(=O)[C@@H](O)[C@@H](C)O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chromomycin-a3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0.08847303189144173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1806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BRD-A58837096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0.0913945617097796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0.4286784926057054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NC[C@H]1O[C@H](OC2[C@@H](N)C[C@@H](N)[C@H](O)[C@@H]2O[C@@H]2O[C@H](CO)[C@@H](O)[C@H]2O)[C@H](N)[C@@H](O)[C@@H]1O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ribostamycin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0.09611522069269583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1962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BRD-A73909368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0.0898906549850067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0.4216245448025261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CC(C)C1NC(=O)C(NC(=O)C(C(C)C)N(C)C(=O)CN(C)C(=O)C2CCCN2C1=O)C(C)OC(=O)c1ccc(C)c2oc3c(C)c(=O)c(N)c(C(=O)OC(C)C4NC(=O)C(C(C)C)N(C)C(=O)CN(C)C(=O)C5CCCN5C(=O)C(NC4=O)C(C)C)c3nc12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0.0994464311958066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2030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BRD-K78599730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0.0878760143791957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0.4121750427546503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CCCC[C@@H](C)/C=C(\C)/C=C(\C)/C(=O)NC1=C[C@@](O)(\C=C\C=C\C=C\C(=O)NC2C(=O)CCC2=O)[C@@H]3O[C@@H]3C1=O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0.10463920050947925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2136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BRD-A32349859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0.086477719344102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0.4056164576851637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COC(=O)CC1C(C)(C)C(=O)C[C@@H]2O[C@@]34CC(=O)O[C@@H](c5ccoc5)[C@]4(C)CCC(C3=C)[C@]12C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methyl-angolensate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0.10787243423308676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2202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BRD-K33396764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0.0811389232064313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0.3805752841425487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CC\C=C/C\C=C/C\C=C/CCCCCCCC(O)=O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5280934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alpha-linolenic-acid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0.12139322980453633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2478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BRD-A42383464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0.0792597058144483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0.3717609732710568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CC(C)C1NC(=O)C(NC(=O)c2ccc(C)c3oc4c(C)c(=O)c(N)c(C(=O)NC5C(C)OC(=O)C(C(C)C)N(C)C(=O)CN(C)C(=O)C6CCCN6C(=O)C(NC5=O)C(C)C)c4nc23)C(C)OC(=O)C(C(C)C)N(C)C(=O)CN(C)C(=O)C7CCCN7C1=O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actinomycin-d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0.1267819526772155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2588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BRD-A52886023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0.0787778052416714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0.3695006592298366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CCCCCCC1[C@@H](OC(=O)CC(C)C)[C@H](C)OC(=O)[C@@H](NC(=O)c2cccc(NC=O)c2O)[C@@H](C)OC1=O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16218979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antimycin-a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0.12825160436976438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2618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BRD-K30097969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0.0779952400862569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0.3658301032917914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O[C@H](C[C@H](O)/C=C/c1c(nc2ccccc2c1c3ccc(F)cc3)C4CC4)CC(=O)O[Ca]OC(=O)C[C@H](O)C[C@H](O)/C=C/c5c(nc6ccccc6c5c7ccc(F)cc7)C8CC8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11251522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pitavastatin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0.13079900063684907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2670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BRD-A74771556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0.0718128702857278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0.3368322185463333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CC(C(C)c1ccc(O)cn1)C(N)C(=O)NC([C@H]2O[C@H]([C@@H](O)[C@H]2O)N3C=CC(=O)CC3=O)C(=O)O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24151277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nikkomycin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0.15108019399402342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BRD-K52431530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0.0716415535319934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0.3360286717446959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CO[C@H]1[C@@H](CC(=O)O[C@H](C)CC=CC=C[C@H](O)[C@H](C)C[C@H](CC=O)[C@@H]1O[C@@H]2O[C@H](C)[C@@H](O[C@H]3C[C@@](C)(OC(=O)CC(C)C)[C@@H](O)[C@H](C)O3)[C@@H]([C@H]2O)N(C)C)OC(=O)C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23581794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josamycin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0.1517170430607946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BRD-K05350981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0.0702064904299649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0.3292976291546003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CC[C@H]1CC[C@H]2O[C@@]3(CC[C@@H](C)[C@@H](C[C@H](C)O)O3)[C@H](C)[C@@H](OC(=O)\C=C\[C@@H](C)[C@H](O)[C@@H](C)C(=O)[C@@H](C)[C@H](O)[C@@H](C)C(=O)[C@H](C)[C@H](O)[C@@H](C)C\C=C\C=C\1)[C@H]2C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5281901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0.1571547543232254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3208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BRD-A19232309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0.0647233169187199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0.3035792657036102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1,2-propylene-glycol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0.17616224954685739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3596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BRD-A61304759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0.0632853507995605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0.296834606756213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COC1CC(C)CC2=C(NCC=C)C(=O)C=C(NC(=O)\C(C)=C\C=C\C(OC)C(OC(N)=O)\C(C)=C\C(C)C1O)C2=O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tanespimycin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0.1807671581835105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3690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BRD-K67844266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0.0627126864839398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0.2941485730251372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NS(=O)(=O)OC[C@@H]1C[C@H](C[C@@H]1O)n1ccc2c(N[C@H]3CCc4ccccc34)ncnc12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16720766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pevonedistat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0.18287365894283056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3733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BRD-K16406336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0.0603584809736772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0.2831063703979382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CN(C)c1ccc2nc3ccc(cc3[s+]c2c1)N(C)C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methylene-blue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0.19227942977514328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BRD-A44827100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0.0595545319767741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0.2793355153527698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CCOC(=O)CCC(=O)OC1C(CC(C)OC1OC2C(C)C(OC3CC(C)(OC)C(O)C(C)O3)C(C)C(=O)OC(CC)C(C)(O)C(O)C(C)C(=O)C(C)CC2(C)O)N(C)C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erythromycin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0.1951697447704894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BRD-K51418664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0.0582399194890802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0.2731694362224296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CO[C@@]12[C@H]3N[C@H]3CN1C1=C([C@H]2COC(N)=O)C(=O)C(N)=C(C)C1=O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15560563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mitomycin-c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0.20031352569441044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4089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BRD-A61486721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0.0575261122801087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0.269821383639994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CN[C@H]1[C@@H](O)C2O[C@H](O[C@@H]3[C@@H](N)C[C@@H](N)[C@H](O)[C@H]3O)[C@H](N)C[C@@H]2OC1O[C@H]4O[C@H](CO)[C@@H](N)[C@H](O)[C@H]4O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23958199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apramycin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0.20320384068975653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4148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BRD-A23034328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0.0556850198543433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0.2611858947108925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CCC[C@@H]1C[C@H](N(C)C1)C(=O)N[C@H]([C@H](C)Cl)C1O[C@H](SC)[C@H](O)[C@@H](O)[C@H]1O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6419884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clindamycin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0.21084602949101064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4304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BRD-K74133369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0.0538815821497893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0.2527270220795926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CC[C@H]1CC[C@@H]2O[C@]3(CC[C@@H](C)[C@@H](C[C@@H](C)O)O3)[C@H](C)[C@H](OC(=O)\C=C\[C@@H](C)[C@H](O)[C@@H](C)C(=O)[C@@H](C)[C@H](O)[C@@H](C)C(=O)[C@@](C)(O)[C@H](O)[C@@H](C)C\C=C\C=C\1)[C@H]2C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73707429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0.21834125312300984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4457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BRD-A11170096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0.0537783654049188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0.2522428926327745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CCC(C)C(=O)OC1CC(O)C=C2C=CC(C)C(CCC(O)CC(O)CC(O)=O)C12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0.21917405574878754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4474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BRD-A77216878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0.0533763757733065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0.2503573941293744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CCCC[C@@H](C)\C=C(C)\C=C(/C)C(=O)NC1=C[C@@](O)(\C=C\C=C\C=C\C(=O)NC2C(=O)CCC2=O)[C@@H]2OC2C1=O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73707404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0.22103561455934945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4512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BRD-K77908580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0.0499502791172008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0.2342875763788982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Nc1ccccc1NC(=O)c1ccc(CNC(=O)OCc2cccnc2)cc1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0.23617302699260276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03_results/S08_l1000_immuno_overlap.csv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drug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prednisolone (glucocorticoid control)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0.1364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0.03189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651.0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 (IMiD)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 (anti-inflammatory control, expect LOW rescue)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0.33351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6808.0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 (HDACi, upregulates HLA-II)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0.4236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8647.0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 (macrolide immunomod)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romidepsin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interferon-gamma (biologic, not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03_results/S08_l1000_positive_control.csv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S08 / S08_l1000_rescue_trtcp.csv: 20414 rows — too large to embed. The full table is deposited at 03_results/S08_l1000_rescue_trtcp.csv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S08b. Clinical-translation status of each candidate.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﻿compound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rescue_fraction_directional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immunotherapy_class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clinical_status_in_sepsis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key_evidence_direction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typical_route_dose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major_toxicity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repositioning_rationale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primary_reference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doi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ref_status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IL-7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T-cell homeostatic cytokine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Phase I/II RCTs in sepsis/lymphopenic ICU patients (e.g. recombinant IL-7 / CYT107 / NHS-IL-7); raises naive &amp; central-memory T cells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10-50 ug/kg/wk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Capillary leak at high dose; transient lymphocyte activation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Restores CD3D/CD3E/CD8A/IL7R/LCK axis (directional rescue 1.00); counters T-cell exhaustion in Mars1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Francois B, Jeannet R, Daix T, Walton AH, et al. Interleukin-7 restores lymphocytes in septic shock: the IRIS-7 randomized clinical trial. JCI Insight. 2018;3(14):e98960.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10.1172/jci.insight.98960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GM-CSF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Myeloid growth factor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RCTs show restored monocyte HLA-DR &amp; cytokine production in sepsis (e.g. rhGM-CSF trials in immunoparalysis)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5-10 ug/kg/day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Edema; mild ARDS risk; leukocytosis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Activates CD14/FCGR3A/ITGAM and HLA-DRA/DRB1 (directional 0.833); reverses monocyte anergy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Meisel C, Schefold JC, Pschowski R, Baumann T, et al. Granulocyte-macrophage colony-stimulating factor to reverse sepsis-associated immunosuppression: a double-blind, randomized, placebo-controlled multicenter trial. Am J Respir Crit Care Med. 2009;180(7):640-648.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10.1164/rccm.200903-0363OC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IFN-gamma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Type II interferon / MHC-II master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Approved for chronic granulomatous disease; small sepsis/immunoparalysis trials; canonical HLA-II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50-100 ug/m2 TIW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Flu-like; hepatotoxicity; neutropenia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Rescued 4/5 antigen-presentation genes in S08 positive-control; directly reopens CD74/HLA-DQA1/DQB1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Docke WD, Randow F, Syrbe U, Krausch D, et al. Monocyte deactivation in septic patients: restoration by IFN-gamma treatment. Nat Med. 1997;3(6):678-681.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10.1038/nm0697-678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0.667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Macrolide immunomodulator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Observational/sepsis immunomodulation signals modest; not a dedicated sepsis immunorestorative RCT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IV/PO; 500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 prophylaxis class; QT prolongation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HLA-DRA/CD14 up; mild anti-inflammatory; lower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Parnham MJ, Haber VE, Giamarellos-Bourboulis EJ, Perletti G, Verleden GM, Vos R. Azithromycin: mechanisms of action and their relevance for clinical applications. Pharmacol Ther. 2014;143(2):225-245.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10.1016/j.pharmthera.2014.03.003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(PMID 24631273; evidence is for immunomodulatory mechanism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not a sepsis RCT)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Immunomodulatory IMiD (cereblon)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Hematology-mainstay; sepsis-specific human trials limited; up-regulates costim &amp; HLA-II in vitro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PO; 5-25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Teratogenicity; neutropenia; thrombosis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HLA-DRA/DRB1 + T costim; mechanistic plausibility only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McDaniel JM, Zou Z, Fulp WJ, Chen DT, et al. Reversal of T-cell tolerance in myelodysplastic syndrome through lenalidomide immune modulation. Leukemia. 2012;26(6):1425-1429.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10.1038/leu.2011.359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(mechanism reference; no sepsis-specific trial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Thymosin alpha1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Thymic peptide immunorestorative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Used as immunorestorative in sepsis in some regions (e.g. IST trials); heterogeneous evidence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1.6 mg TIW/BIW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Well tolerated; rare injection-site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Monocyte/dendritic maturation; restores HLA-DRA/CD14 (directional 0.40)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 C, Bo L, Liu Q, Jin F, et al. Thymosin alpha1 based immunomodulatory therapy for sepsis: a systematic review and meta-analysis. Int J Infect Dis. 2015;33:90-96.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10.1016/j.ijid.2014.12.032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BCG (trained immunity)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Live attenuated vaccine / innate training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Prevention of infection recurrence (TB/oncologic); sepsis-prevention exploration via trained immunity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ID; single/boost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Local ulcer; rare disseminated in immunocompromised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 via trained immunity; lowest directional rescue (0.20) -&gt; lowest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Netea MG, Joosten LA, Latz E, Mills KH, et al. Trained immunity: a program of innate immune memory in health and disease. Science. 2016;352(6284):aaf1098.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10.1126/science.aaf1098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(framework reference; no sepsis-prevention RCT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03_results/08b_clinical_translation.csv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S09. Deferred by design (see Limitation 7).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S11. Experimental validation blueprint (LPS-tolerance / patient-cell assays; see 03_results/11_validation_design.md).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/>
    <w:p>
      <w:pPr>
        <w:spacing w:before="160" w:after="80"/>
      </w:pPr>
      <w:r>
        <w:rPr>
          <w:rFonts w:ascii="Times New Roman" w:hAnsi="Times New Roman"/>
          <w:b/>
          <w:i w:val="0"/>
          <w:sz w:val="25"/>
        </w:rPr>
        <w:t>Figure captions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S1. ROC of 28-day mortality by the Mars1 binary indicator (discovery cohort).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S2. Immune-function score by MARS endotype.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S3A. Hub genes (top-hub degree centrality).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S3B. Eigengene-trait correlation.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S6A. Cross-validated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S6B. Training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S6C. Decision-curve analysis (external equal-weight score).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S7. Cellular context of hub genes (bulk surrogate deconvolution).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S9. ROC of the locked signature on E-MTAB-4451 (n=106).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S10. Top LINCS L1000 rescuers of the Mars1-down axis and candidate markers.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