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0"/>
        </w:rPr>
        <w:t>Cover Letter — PLOS ONE</w:t>
      </w:r>
    </w:p>
    <w:p>
      <w:pPr>
        <w:spacing w:before="0" w:after="80"/>
      </w:pPr>
      <w:r>
        <w:rPr>
          <w:rFonts w:ascii="Times New Roman" w:hAnsi="Times New Roman"/>
          <w:b/>
          <w:i w:val="0"/>
        </w:rPr>
        <w:t>Manuscript title:</w:t>
      </w:r>
      <w:r>
        <w:rPr>
          <w:rFonts w:ascii="Times New Roman" w:hAnsi="Times New Roman"/>
          <w:b w:val="0"/>
          <w:i w:val="0"/>
        </w:rPr>
        <w:t xml:space="preserve"> A reproducible pipeline confirms the MARS Mars1 immunoparalysis program and externally evaluates a 30-gene sepsis prognostic signature</w:t>
      </w:r>
    </w:p>
    <w:p>
      <w:pPr>
        <w:spacing w:before="0" w:after="80"/>
      </w:pPr>
      <w:r>
        <w:rPr>
          <w:rFonts w:ascii="Times New Roman" w:hAnsi="Times New Roman"/>
          <w:b/>
          <w:i w:val="0"/>
        </w:rPr>
        <w:t>Article type:</w:t>
      </w:r>
      <w:r>
        <w:rPr>
          <w:rFonts w:ascii="Times New Roman" w:hAnsi="Times New Roman"/>
          <w:b w:val="0"/>
          <w:i w:val="0"/>
        </w:rPr>
        <w:t xml:space="preserve"> Original Research Article</w:t>
      </w:r>
    </w:p>
    <w:p>
      <w:pPr>
        <w:spacing w:before="0" w:after="80"/>
      </w:pPr>
      <w:r>
        <w:rPr>
          <w:rFonts w:ascii="Times New Roman" w:hAnsi="Times New Roman"/>
          <w:b/>
          <w:i w:val="0"/>
        </w:rPr>
        <w:t>Corresponding author:</w:t>
      </w:r>
      <w:r>
        <w:rPr>
          <w:rFonts w:ascii="Times New Roman" w:hAnsi="Times New Roman"/>
          <w:b w:val="0"/>
          <w:i w:val="0"/>
        </w:rPr>
        <w:t xml:space="preserve"> Yongxin Yang</w:t>
      </w:r>
    </w:p>
    <w:p>
      <w:pPr>
        <w:spacing w:before="0" w:after="80"/>
      </w:pPr>
      <w:r>
        <w:rPr>
          <w:rFonts w:ascii="Times New Roman" w:hAnsi="Times New Roman"/>
          <w:b w:val="0"/>
          <w:i w:val="0"/>
        </w:rPr>
        <w:t>The Second Affiliated Hospital of Fujian University of Traditional Chinese Medicine, Fuzhou, Fujian 350003, China</w:t>
      </w:r>
    </w:p>
    <w:p>
      <w:pPr>
        <w:spacing w:before="0" w:after="80"/>
      </w:pPr>
      <w:r>
        <w:rPr>
          <w:rFonts w:ascii="Times New Roman" w:hAnsi="Times New Roman"/>
          <w:b w:val="0"/>
          <w:i w:val="0"/>
        </w:rPr>
        <w:t>ORCID: 0009-0004-9698-6552</w:t>
      </w:r>
    </w:p>
    <w:p>
      <w:pPr>
        <w:spacing w:before="0" w:after="80"/>
      </w:pPr>
      <w:r>
        <w:rPr>
          <w:rFonts w:ascii="Times New Roman" w:hAnsi="Times New Roman"/>
          <w:b w:val="0"/>
          <w:i w:val="0"/>
        </w:rPr>
        <w:t>Email: 960856791@qq.com</w:t>
      </w:r>
    </w:p>
    <w:p>
      <w:pPr>
        <w:spacing w:before="0" w:after="80"/>
      </w:pPr>
      <w:r>
        <w:rPr>
          <w:rFonts w:ascii="Times New Roman" w:hAnsi="Times New Roman"/>
          <w:b w:val="0"/>
          <w:i w:val="0"/>
        </w:rPr>
        <w:t>Dear PLOS ONE Editorial Team,</w:t>
      </w:r>
    </w:p>
    <w:p>
      <w:pPr>
        <w:spacing w:before="0" w:after="80"/>
      </w:pPr>
      <w:r>
        <w:rPr>
          <w:rFonts w:ascii="Times New Roman" w:hAnsi="Times New Roman"/>
          <w:b w:val="0"/>
          <w:i w:val="0"/>
        </w:rPr>
        <w:t>Please find enclosed our manuscript for consideration as an Original Research Article. This is a single-author, fully computational, auditable re-analysis of public sepsis transcriptomic cohorts (GSE65682, E-MTAB-4451) with a two-sample Mendelian randomisation layer.</w:t>
      </w:r>
    </w:p>
    <w:p>
      <w:pPr>
        <w:spacing w:before="0" w:after="80"/>
      </w:pPr>
      <w:r>
        <w:rPr>
          <w:rFonts w:ascii="Times New Roman" w:hAnsi="Times New Roman"/>
          <w:b w:val="0"/>
          <w:i w:val="0"/>
        </w:rPr>
        <w:t>We believe this work is a strong fit for PLOS ONE's soundness-first, novelty-agnostic editorial criteria:</w:t>
      </w:r>
    </w:p>
    <w:p>
      <w:pPr>
        <w:pStyle w:val="ListBullet"/>
        <w:spacing w:after="40"/>
      </w:pPr>
      <w:r>
        <w:rPr>
          <w:rFonts w:ascii="Times New Roman" w:hAnsi="Times New Roman"/>
          <w:b/>
          <w:i w:val="0"/>
        </w:rPr>
        <w:t>Original methodological contribution.</w:t>
      </w:r>
      <w:r>
        <w:rPr>
          <w:rFonts w:ascii="Times New Roman" w:hAnsi="Times New Roman"/>
          <w:b w:val="0"/>
          <w:i w:val="0"/>
        </w:rPr>
        <w:t xml:space="preserve"> We deliver a transparent, fully reproducible pipeline in which every reported number traces to a deposited result file (enforced by 32 automated audit assertions). The pipeline (i) confirms the immunosuppressed Mars1 endotype program, (ii) externally validates a 30-gene sepsis prognostic signature on an independent, cross-platform cohort (AUC 0.638, 95% CI 0.532–0.748), and (iii) provides an in-silico drug-repositioning shortlist together with an explicit experimental-validation blueprint.</w:t>
      </w:r>
    </w:p>
    <w:p>
      <w:pPr>
        <w:pStyle w:val="ListBullet"/>
        <w:spacing w:after="40"/>
      </w:pPr>
      <w:r>
        <w:rPr>
          <w:rFonts w:ascii="Times New Roman" w:hAnsi="Times New Roman"/>
          <w:b/>
          <w:i w:val="0"/>
        </w:rPr>
        <w:t>Honest null results are reported as such.</w:t>
      </w:r>
      <w:r>
        <w:rPr>
          <w:rFonts w:ascii="Times New Roman" w:hAnsi="Times New Roman"/>
          <w:b w:val="0"/>
          <w:i w:val="0"/>
        </w:rPr>
        <w:t xml:space="preserve"> The Mendelian-randomisation layer is uniformly null across the 15-test family (minimum q = 0.81) and is framed throughout as hypothesis-generating, not as causal support. We consider a rigorous, well-documented null a valid scientific contribution in its own right, and we present it transparently rather than overstating it.</w:t>
      </w:r>
    </w:p>
    <w:p>
      <w:pPr>
        <w:pStyle w:val="ListBullet"/>
        <w:spacing w:after="40"/>
      </w:pPr>
      <w:r>
        <w:rPr>
          <w:rFonts w:ascii="Times New Roman" w:hAnsi="Times New Roman"/>
          <w:b/>
          <w:i w:val="0"/>
        </w:rPr>
        <w:t>Fully open data and code.</w:t>
      </w:r>
      <w:r>
        <w:rPr>
          <w:rFonts w:ascii="Times New Roman" w:hAnsi="Times New Roman"/>
          <w:b w:val="0"/>
          <w:i w:val="0"/>
        </w:rPr>
        <w:t xml:space="preserve"> A versioned GitHub repository (tag v1.19.1) and a public Zenodo archive (DOI 10.5281/zenodo.23042366) accompany the work. No new primary data were generated; all inputs are public.</w:t>
      </w:r>
    </w:p>
    <w:p>
      <w:pPr>
        <w:spacing w:before="0" w:after="80"/>
      </w:pPr>
      <w:r>
        <w:rPr>
          <w:rFonts w:ascii="Times New Roman" w:hAnsi="Times New Roman"/>
          <w:b w:val="0"/>
          <w:i w:val="0"/>
        </w:rPr>
        <w:t>We confirm that the manuscript (i) presents original research, (ii) describes methods in sufficient detail for reproduction, (iii) supports its conclusions with the data shown, and (iv) meets applicable ethics standards — the analysis uses public, de-identified data and was exempt from local IRB review (see the Ethics statement). Use of generative AI in manuscript preparation is disclosed in §2.12. We have no competing interests and no funding to declare.</w:t>
      </w:r>
    </w:p>
    <w:p>
      <w:pPr>
        <w:spacing w:before="0" w:after="80"/>
      </w:pPr>
      <w:r>
        <w:rPr>
          <w:rFonts w:ascii="Times New Roman" w:hAnsi="Times New Roman"/>
          <w:b w:val="0"/>
          <w:i w:val="0"/>
        </w:rPr>
        <w:t>We suggest handling areas: bioinformatics, immunology, critical care / sepsis, genomics.</w:t>
      </w:r>
    </w:p>
    <w:p>
      <w:pPr>
        <w:spacing w:before="0" w:after="80"/>
      </w:pPr>
      <w:r>
        <w:rPr>
          <w:rFonts w:ascii="Times New Roman" w:hAnsi="Times New Roman"/>
          <w:b w:val="0"/>
          <w:i w:val="0"/>
        </w:rPr>
        <w:t>Thank you for your consideration. We are happy to provide any additional materials needed for review.</w:t>
      </w:r>
    </w:p>
    <w:p>
      <w:pPr>
        <w:spacing w:before="0" w:after="80"/>
      </w:pPr>
      <w:r>
        <w:rPr>
          <w:rFonts w:ascii="Times New Roman" w:hAnsi="Times New Roman"/>
          <w:b w:val="0"/>
          <w:i w:val="0"/>
        </w:rPr>
        <w:t>Sincerely,</w:t>
      </w:r>
    </w:p>
    <w:p>
      <w:pPr>
        <w:spacing w:before="0" w:after="80"/>
      </w:pPr>
      <w:r>
        <w:rPr>
          <w:rFonts w:ascii="Times New Roman" w:hAnsi="Times New Roman"/>
          <w:b w:val="0"/>
          <w:i w:val="0"/>
        </w:rPr>
        <w:t>Yongxin Yang</w:t>
      </w:r>
    </w:p>
    <w:p>
      <w:pPr>
        <w:spacing w:before="0" w:after="80"/>
      </w:pPr>
      <w:r>
        <w:rPr>
          <w:rFonts w:ascii="Times New Roman" w:hAnsi="Times New Roman"/>
          <w:b w:val="0"/>
          <w:i w:val="0"/>
        </w:rPr>
        <w:t>The Second Affiliated Hospital of Fujian University of Traditional Chinese Medicine, Fuzhou, Fujian 350003, China</w:t>
      </w:r>
    </w:p>
    <w:p>
      <w:pPr>
        <w:spacing w:before="0" w:after="80"/>
      </w:pPr>
      <w:r>
        <w:rPr>
          <w:rFonts w:ascii="Times New Roman" w:hAnsi="Times New Roman"/>
          <w:b w:val="0"/>
          <w:i w:val="0"/>
        </w:rPr>
        <w:t>ORCID: 0009-0004-9698-6552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