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pipeline recapitulates the MARS Mars1 immunoparalysis program within-cohort and externally evaluates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an honest external validation that is independent in cohort and platform but not in label (the score orientation was fixed on the discovery cohort's 28-day outcomes), and an explicit experimental blueprint — not novel hub-gene discovery (see Discussion). The five immune hubs recapitulate the established MARS Mars1 antigen-presentation program (a near-replication).</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gate.</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HAVCR2/TIM-3) were recapitulated as the Mars1 antigen-presentation program within-cohort, plus one non-immune passenger, FIS1 (logFC +1.26, up-regulated). The locked-L1 signature — its honest out-of-sample generalization — gave external transport AUC 0.585 (95% CI 0.469–0.696); a pre-specified equal-weight sensitivity gave AUC 0.638 (95% CI 0.532–0.748),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gate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an honest external validation that is independent in cohort and platform but not in label (score orientation was fixed on the discovery cohort's 28-day outcomes), and an explicit experimental blueprint —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 a confirmation/replication question, since the antigen-presentation program is known —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 a canonical MHC-II inducer whose curated response set includes the antigen-presentation genes —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A fixed-orientation equal-weight score was reported as the primary external metric, with AUC 95% CI from 2,000-sample bootstrap. A locked-L1-weight application was added as a sensitivity analysis. The equal-weight oriented sum was declared the primary external metric before the external AUC was computed, because it carries no cohort-specific weights and is therefore the portable component by construction; the locked-L1 result is reported alongside it as the like-for-like comparison to the within-cohort cross-validated AUC.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PD-1/TIM-3 co-expression more broadly characterises exhausted T cells, and several sepsis studies report TIM-3 up-regulation on circulating T cells in association with severity [16].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 but does not by itself establish —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[16], and the same primary direction was reported in a human severe-sepsis PBMC cohort by Yang et al. [17]. The present result is therefore a cohort-specific net-expression observation, not a refutation of the TIM-3-up exhaustion literature [16].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 including HAVCR2/TIM-3 and including the five hubs —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Gene</w:t>
            </w:r>
          </w:p>
        </w:tc>
        <w:tc>
          <w:tcPr>
            <w:tcW w:type="dxa" w:w="1560"/>
          </w:tcPr>
          <w:p>
            <w:pPr>
              <w:spacing w:line="240" w:lineRule="auto" w:before="20" w:after="20"/>
            </w:pPr>
            <w:r/>
            <w:r>
              <w:rPr>
                <w:rFonts w:ascii="Times New Roman" w:hAnsi="Times New Roman"/>
                <w:b/>
                <w:i w:val="0"/>
                <w:sz w:val="17"/>
              </w:rPr>
              <w:t>logFC (Mars1−Other)</w:t>
            </w:r>
          </w:p>
        </w:tc>
        <w:tc>
          <w:tcPr>
            <w:tcW w:type="dxa" w:w="1560"/>
          </w:tcPr>
          <w:p>
            <w:pPr>
              <w:spacing w:line="240" w:lineRule="auto" w:before="20" w:after="20"/>
            </w:pPr>
            <w:r/>
            <w:r>
              <w:rPr>
                <w:rFonts w:ascii="Times New Roman" w:hAnsi="Times New Roman"/>
                <w:b/>
                <w:i w:val="0"/>
                <w:sz w:val="17"/>
              </w:rPr>
              <w:t>adj.P.Val</w:t>
            </w:r>
          </w:p>
        </w:tc>
        <w:tc>
          <w:tcPr>
            <w:tcW w:type="dxa" w:w="1560"/>
          </w:tcPr>
          <w:p>
            <w:pPr>
              <w:spacing w:line="240" w:lineRule="auto" w:before="20" w:after="20"/>
            </w:pPr>
            <w:r/>
            <w:r>
              <w:rPr>
                <w:rFonts w:ascii="Times New Roman" w:hAnsi="Times New Roman"/>
                <w:b/>
                <w:i w:val="0"/>
                <w:sz w:val="17"/>
              </w:rPr>
              <w:t>Function</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HLA-DRB1</w:t>
            </w:r>
          </w:p>
        </w:tc>
        <w:tc>
          <w:tcPr>
            <w:tcW w:type="dxa" w:w="1560"/>
          </w:tcPr>
          <w:p>
            <w:pPr>
              <w:spacing w:line="240" w:lineRule="auto" w:before="20" w:after="20"/>
            </w:pPr>
            <w:r/>
            <w:r>
              <w:rPr>
                <w:rFonts w:ascii="Times New Roman" w:hAnsi="Times New Roman"/>
                <w:b w:val="0"/>
                <w:i w:val="0"/>
                <w:sz w:val="17"/>
              </w:rPr>
              <w:t>−0.89</w:t>
            </w:r>
          </w:p>
        </w:tc>
        <w:tc>
          <w:tcPr>
            <w:tcW w:type="dxa" w:w="1560"/>
          </w:tcPr>
          <w:p>
            <w:pPr>
              <w:spacing w:line="240" w:lineRule="auto" w:before="20" w:after="20"/>
            </w:pPr>
            <w:r/>
            <w:r>
              <w:rPr>
                <w:rFonts w:ascii="Times New Roman" w:hAnsi="Times New Roman"/>
                <w:b w:val="0"/>
                <w:i w:val="0"/>
                <w:sz w:val="17"/>
              </w:rPr>
              <w:t>1.1e-15</w:t>
            </w:r>
          </w:p>
        </w:tc>
        <w:tc>
          <w:tcPr>
            <w:tcW w:type="dxa" w:w="1560"/>
          </w:tcPr>
          <w:p>
            <w:pPr>
              <w:spacing w:line="240" w:lineRule="auto" w:before="20" w:after="20"/>
            </w:pPr>
            <w:r/>
            <w:r>
              <w:rPr>
                <w:rFonts w:ascii="Times New Roman" w:hAnsi="Times New Roman"/>
                <w:b w:val="0"/>
                <w:i w:val="0"/>
                <w:sz w:val="17"/>
              </w:rPr>
              <w:t>MHC-II</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CD74</w:t>
            </w:r>
          </w:p>
        </w:tc>
        <w:tc>
          <w:tcPr>
            <w:tcW w:type="dxa" w:w="1560"/>
          </w:tcPr>
          <w:p>
            <w:pPr>
              <w:spacing w:line="240" w:lineRule="auto" w:before="20" w:after="20"/>
            </w:pPr>
            <w:r/>
            <w:r>
              <w:rPr>
                <w:rFonts w:ascii="Times New Roman" w:hAnsi="Times New Roman"/>
                <w:b w:val="0"/>
                <w:i w:val="0"/>
                <w:sz w:val="17"/>
              </w:rPr>
              <w:t>−0.76</w:t>
            </w:r>
          </w:p>
        </w:tc>
        <w:tc>
          <w:tcPr>
            <w:tcW w:type="dxa" w:w="1560"/>
          </w:tcPr>
          <w:p>
            <w:pPr>
              <w:spacing w:line="240" w:lineRule="auto" w:before="20" w:after="20"/>
            </w:pPr>
            <w:r/>
            <w:r>
              <w:rPr>
                <w:rFonts w:ascii="Times New Roman" w:hAnsi="Times New Roman"/>
                <w:b w:val="0"/>
                <w:i w:val="0"/>
                <w:sz w:val="17"/>
              </w:rPr>
              <w:t>2.1e-15</w:t>
            </w:r>
          </w:p>
        </w:tc>
        <w:tc>
          <w:tcPr>
            <w:tcW w:type="dxa" w:w="1560"/>
          </w:tcPr>
          <w:p>
            <w:pPr>
              <w:spacing w:line="240" w:lineRule="auto" w:before="20" w:after="20"/>
            </w:pPr>
            <w:r/>
            <w:r>
              <w:rPr>
                <w:rFonts w:ascii="Times New Roman" w:hAnsi="Times New Roman"/>
                <w:b w:val="0"/>
                <w:i w:val="0"/>
                <w:sz w:val="17"/>
              </w:rPr>
              <w:t>MHC-II invariant chain</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CD14</w:t>
            </w:r>
          </w:p>
        </w:tc>
        <w:tc>
          <w:tcPr>
            <w:tcW w:type="dxa" w:w="1560"/>
          </w:tcPr>
          <w:p>
            <w:pPr>
              <w:spacing w:line="240" w:lineRule="auto" w:before="20" w:after="20"/>
            </w:pPr>
            <w:r/>
            <w:r>
              <w:rPr>
                <w:rFonts w:ascii="Times New Roman" w:hAnsi="Times New Roman"/>
                <w:b w:val="0"/>
                <w:i w:val="0"/>
                <w:sz w:val="17"/>
              </w:rPr>
              <w:t>−0.77</w:t>
            </w:r>
          </w:p>
        </w:tc>
        <w:tc>
          <w:tcPr>
            <w:tcW w:type="dxa" w:w="1560"/>
          </w:tcPr>
          <w:p>
            <w:pPr>
              <w:spacing w:line="240" w:lineRule="auto" w:before="20" w:after="20"/>
            </w:pPr>
            <w:r/>
            <w:r>
              <w:rPr>
                <w:rFonts w:ascii="Times New Roman" w:hAnsi="Times New Roman"/>
                <w:b w:val="0"/>
                <w:i w:val="0"/>
                <w:sz w:val="17"/>
              </w:rPr>
              <w:t>≈0 (P&lt;1e-300)</w:t>
            </w:r>
          </w:p>
        </w:tc>
        <w:tc>
          <w:tcPr>
            <w:tcW w:type="dxa" w:w="1560"/>
          </w:tcPr>
          <w:p>
            <w:pPr>
              <w:spacing w:line="240" w:lineRule="auto" w:before="20" w:after="20"/>
            </w:pPr>
            <w:r/>
            <w:r>
              <w:rPr>
                <w:rFonts w:ascii="Times New Roman" w:hAnsi="Times New Roman"/>
                <w:b w:val="0"/>
                <w:i w:val="0"/>
                <w:sz w:val="17"/>
              </w:rPr>
              <w:t>monocyte receptor</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FCGR3A</w:t>
            </w:r>
          </w:p>
        </w:tc>
        <w:tc>
          <w:tcPr>
            <w:tcW w:type="dxa" w:w="1560"/>
          </w:tcPr>
          <w:p>
            <w:pPr>
              <w:spacing w:line="240" w:lineRule="auto" w:before="20" w:after="20"/>
            </w:pPr>
            <w:r/>
            <w:r>
              <w:rPr>
                <w:rFonts w:ascii="Times New Roman" w:hAnsi="Times New Roman"/>
                <w:b w:val="0"/>
                <w:i w:val="0"/>
                <w:sz w:val="17"/>
              </w:rPr>
              <w:t>−0.61</w:t>
            </w:r>
          </w:p>
        </w:tc>
        <w:tc>
          <w:tcPr>
            <w:tcW w:type="dxa" w:w="1560"/>
          </w:tcPr>
          <w:p>
            <w:pPr>
              <w:spacing w:line="240" w:lineRule="auto" w:before="20" w:after="20"/>
            </w:pPr>
            <w:r/>
            <w:r>
              <w:rPr>
                <w:rFonts w:ascii="Times New Roman" w:hAnsi="Times New Roman"/>
                <w:b w:val="0"/>
                <w:i w:val="0"/>
                <w:sz w:val="17"/>
              </w:rPr>
              <w:t>9.1e-11</w:t>
            </w:r>
          </w:p>
        </w:tc>
        <w:tc>
          <w:tcPr>
            <w:tcW w:type="dxa" w:w="1560"/>
          </w:tcPr>
          <w:p>
            <w:pPr>
              <w:spacing w:line="240" w:lineRule="auto" w:before="20" w:after="20"/>
            </w:pPr>
            <w:r/>
            <w:r>
              <w:rPr>
                <w:rFonts w:ascii="Times New Roman" w:hAnsi="Times New Roman"/>
                <w:b w:val="0"/>
                <w:i w:val="0"/>
                <w:sz w:val="17"/>
              </w:rPr>
              <w:t>FcγRIIIa</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ITGAM</w:t>
            </w:r>
          </w:p>
        </w:tc>
        <w:tc>
          <w:tcPr>
            <w:tcW w:type="dxa" w:w="1560"/>
          </w:tcPr>
          <w:p>
            <w:pPr>
              <w:spacing w:line="240" w:lineRule="auto" w:before="20" w:after="20"/>
            </w:pPr>
            <w:r/>
            <w:r>
              <w:rPr>
                <w:rFonts w:ascii="Times New Roman" w:hAnsi="Times New Roman"/>
                <w:b w:val="0"/>
                <w:i w:val="0"/>
                <w:sz w:val="17"/>
              </w:rPr>
              <w:t>−0.21</w:t>
            </w:r>
          </w:p>
        </w:tc>
        <w:tc>
          <w:tcPr>
            <w:tcW w:type="dxa" w:w="1560"/>
          </w:tcPr>
          <w:p>
            <w:pPr>
              <w:spacing w:line="240" w:lineRule="auto" w:before="20" w:after="20"/>
            </w:pPr>
            <w:r/>
            <w:r>
              <w:rPr>
                <w:rFonts w:ascii="Times New Roman" w:hAnsi="Times New Roman"/>
                <w:b w:val="0"/>
                <w:i w:val="0"/>
                <w:sz w:val="17"/>
              </w:rPr>
              <w:t>1.7e-03</w:t>
            </w:r>
          </w:p>
        </w:tc>
        <w:tc>
          <w:tcPr>
            <w:tcW w:type="dxa" w:w="1560"/>
          </w:tcPr>
          <w:p>
            <w:pPr>
              <w:spacing w:line="240" w:lineRule="auto" w:before="20" w:after="20"/>
            </w:pPr>
            <w:r/>
            <w:r>
              <w:rPr>
                <w:rFonts w:ascii="Times New Roman" w:hAnsi="Times New Roman"/>
                <w:b w:val="0"/>
                <w:i w:val="0"/>
                <w:sz w:val="17"/>
              </w:rPr>
              <w:t>integrin αM (significant at FDR&lt;0.05, adj.P=1.7×10⁻³, but below the `</w:t>
            </w:r>
          </w:p>
        </w:tc>
        <w:tc>
          <w:tcPr>
            <w:tcW w:type="dxa" w:w="1560"/>
          </w:tcPr>
          <w:p>
            <w:pPr>
              <w:spacing w:line="240" w:lineRule="auto" w:before="20" w:after="20"/>
            </w:pPr>
            <w:r/>
            <w:r>
              <w:rPr>
                <w:rFonts w:ascii="Times New Roman" w:hAnsi="Times New Roman"/>
                <w:b w:val="0"/>
                <w:i w:val="0"/>
                <w:sz w:val="17"/>
              </w:rPr>
              <w:t>logFC</w:t>
            </w:r>
          </w:p>
        </w:tc>
        <w:tc>
          <w:tcPr>
            <w:tcW w:type="dxa" w:w="1560"/>
          </w:tcPr>
          <w:p>
            <w:pPr>
              <w:spacing w:line="240" w:lineRule="auto" w:before="20" w:after="20"/>
            </w:pPr>
            <w:r/>
            <w:r>
              <w:rPr>
                <w:rFonts w:ascii="Times New Roman" w:hAnsi="Times New Roman"/>
                <w:b w:val="0"/>
                <w:i w:val="0"/>
                <w:sz w:val="17"/>
              </w:rPr>
              <w:t>≥ 0.3` DEG fold-change threshold, DEG_0.3=False)</w:t>
            </w:r>
          </w:p>
        </w:tc>
      </w:tr>
      <w:tr>
        <w:tc>
          <w:tcPr>
            <w:tcW w:type="dxa" w:w="1560"/>
          </w:tcPr>
          <w:p>
            <w:pPr>
              <w:spacing w:line="240" w:lineRule="auto" w:before="20" w:after="20"/>
            </w:pPr>
            <w:r/>
            <w:r>
              <w:rPr>
                <w:rFonts w:ascii="Times New Roman" w:hAnsi="Times New Roman"/>
                <w:b w:val="0"/>
                <w:i w:val="0"/>
                <w:sz w:val="17"/>
              </w:rPr>
              <w:t>HAVCR2</w:t>
            </w:r>
          </w:p>
        </w:tc>
        <w:tc>
          <w:tcPr>
            <w:tcW w:type="dxa" w:w="1560"/>
          </w:tcPr>
          <w:p>
            <w:pPr>
              <w:spacing w:line="240" w:lineRule="auto" w:before="20" w:after="20"/>
            </w:pPr>
            <w:r/>
            <w:r>
              <w:rPr>
                <w:rFonts w:ascii="Times New Roman" w:hAnsi="Times New Roman"/>
                <w:b w:val="0"/>
                <w:i w:val="0"/>
                <w:sz w:val="17"/>
              </w:rPr>
              <w:t>−0.35</w:t>
            </w:r>
          </w:p>
        </w:tc>
        <w:tc>
          <w:tcPr>
            <w:tcW w:type="dxa" w:w="1560"/>
          </w:tcPr>
          <w:p>
            <w:pPr>
              <w:spacing w:line="240" w:lineRule="auto" w:before="20" w:after="20"/>
            </w:pPr>
            <w:r/>
            <w:r>
              <w:rPr>
                <w:rFonts w:ascii="Times New Roman" w:hAnsi="Times New Roman"/>
                <w:b w:val="0"/>
                <w:i w:val="0"/>
                <w:sz w:val="17"/>
              </w:rPr>
              <w:t>2.8e-13</w:t>
            </w:r>
          </w:p>
        </w:tc>
        <w:tc>
          <w:tcPr>
            <w:tcW w:type="dxa" w:w="1560"/>
          </w:tcPr>
          <w:p>
            <w:pPr>
              <w:spacing w:line="240" w:lineRule="auto" w:before="20" w:after="20"/>
            </w:pPr>
            <w:r/>
            <w:r>
              <w:rPr>
                <w:rFonts w:ascii="Times New Roman" w:hAnsi="Times New Roman"/>
                <w:b w:val="0"/>
                <w:i w:val="0"/>
                <w:sz w:val="17"/>
              </w:rPr>
              <w:t>TIM-3</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HLA-DRA</w:t>
            </w:r>
          </w:p>
        </w:tc>
        <w:tc>
          <w:tcPr>
            <w:tcW w:type="dxa" w:w="1560"/>
          </w:tcPr>
          <w:p>
            <w:pPr>
              <w:spacing w:line="240" w:lineRule="auto" w:before="20" w:after="20"/>
            </w:pPr>
            <w:r/>
            <w:r>
              <w:rPr>
                <w:rFonts w:ascii="Times New Roman" w:hAnsi="Times New Roman"/>
                <w:b w:val="0"/>
                <w:i w:val="0"/>
                <w:sz w:val="17"/>
              </w:rPr>
              <w:t>−0.47</w:t>
            </w:r>
          </w:p>
        </w:tc>
        <w:tc>
          <w:tcPr>
            <w:tcW w:type="dxa" w:w="1560"/>
          </w:tcPr>
          <w:p>
            <w:pPr>
              <w:spacing w:line="240" w:lineRule="auto" w:before="20" w:after="20"/>
            </w:pPr>
            <w:r/>
            <w:r>
              <w:rPr>
                <w:rFonts w:ascii="Times New Roman" w:hAnsi="Times New Roman"/>
                <w:b w:val="0"/>
                <w:i w:val="0"/>
                <w:sz w:val="17"/>
              </w:rPr>
              <w:t>3.8e-07</w:t>
            </w:r>
          </w:p>
        </w:tc>
        <w:tc>
          <w:tcPr>
            <w:tcW w:type="dxa" w:w="1560"/>
          </w:tcPr>
          <w:p>
            <w:pPr>
              <w:spacing w:line="240" w:lineRule="auto" w:before="20" w:after="20"/>
            </w:pPr>
            <w:r/>
            <w:r>
              <w:rPr>
                <w:rFonts w:ascii="Times New Roman" w:hAnsi="Times New Roman"/>
                <w:b w:val="0"/>
                <w:i w:val="0"/>
                <w:sz w:val="17"/>
              </w:rPr>
              <w:t>MHC-II</w:t>
            </w:r>
          </w:p>
        </w:tc>
        <w:tc>
          <w:tcPr>
            <w:tcW w:type="dxa" w:w="1560"/>
          </w:tcPr>
          <w:p>
            <w:pPr>
              <w:spacing w:line="240" w:lineRule="auto" w:before="20" w:after="20"/>
            </w:pPr>
            <w:r/>
          </w:p>
        </w:tc>
        <w:tc>
          <w:tcPr>
            <w:tcW w:type="dxa" w:w="1560"/>
          </w:tcPr>
          <w:p>
            <w:pPr>
              <w:spacing w:line="240" w:lineRule="auto" w:before="20" w:after="20"/>
            </w:pPr>
            <w:r/>
          </w:p>
        </w:tc>
      </w:tr>
      <w:tr>
        <w:tc>
          <w:tcPr>
            <w:tcW w:type="dxa" w:w="1560"/>
          </w:tcPr>
          <w:p>
            <w:pPr>
              <w:spacing w:line="240" w:lineRule="auto" w:before="20" w:after="20"/>
            </w:pPr>
            <w:r/>
            <w:r>
              <w:rPr>
                <w:rFonts w:ascii="Times New Roman" w:hAnsi="Times New Roman"/>
                <w:b w:val="0"/>
                <w:i w:val="0"/>
                <w:sz w:val="17"/>
              </w:rPr>
              <w:t>LYZ</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3.6e-06</w:t>
            </w:r>
          </w:p>
        </w:tc>
        <w:tc>
          <w:tcPr>
            <w:tcW w:type="dxa" w:w="1560"/>
          </w:tcPr>
          <w:p>
            <w:pPr>
              <w:spacing w:line="240" w:lineRule="auto" w:before="20" w:after="20"/>
            </w:pPr>
            <w:r/>
            <w:r>
              <w:rPr>
                <w:rFonts w:ascii="Times New Roman" w:hAnsi="Times New Roman"/>
                <w:b w:val="0"/>
                <w:i w:val="0"/>
                <w:sz w:val="17"/>
              </w:rPr>
              <w:t>lysozyme (significant at FDR&lt;0.05, adj.P=3.6×10⁻⁶, but below the</w:t>
            </w:r>
          </w:p>
        </w:tc>
        <w:tc>
          <w:tcPr>
            <w:tcW w:type="dxa" w:w="1560"/>
          </w:tcPr>
          <w:p>
            <w:pPr>
              <w:spacing w:line="240" w:lineRule="auto" w:before="20" w:after="20"/>
            </w:pPr>
            <w:r/>
            <w:r>
              <w:rPr>
                <w:rFonts w:ascii="Times New Roman" w:hAnsi="Times New Roman"/>
                <w:b w:val="0"/>
                <w:i w:val="0"/>
                <w:sz w:val="17"/>
              </w:rPr>
              <w:t>logFC</w:t>
            </w:r>
          </w:p>
        </w:tc>
        <w:tc>
          <w:tcPr>
            <w:tcW w:type="dxa" w:w="1560"/>
          </w:tcPr>
          <w:p>
            <w:pPr>
              <w:spacing w:line="240" w:lineRule="auto" w:before="20" w:after="20"/>
            </w:pPr>
            <w:r/>
            <w:r>
              <w:rPr>
                <w:rFonts w:ascii="Times New Roman" w:hAnsi="Times New Roman"/>
                <w:b w:val="0"/>
                <w:i w:val="0"/>
                <w:sz w:val="17"/>
              </w:rPr>
              <w:t>≥ 0.3 DEG fold-change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[18]; Venet &amp; Monneret [19]) —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 a mitochondrial-fission protein (Yoon et al. [20]) —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the FIS1 co-expression passenger were therefore carried by the tri-method ML consensus (which selects on 28-day-survival-associated, immune-annotated genes)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 the seven-gene MHC-II module —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rather than a mitophagy- or oxidative-stress-driven immune mechanism. FIS1 is accordingly reported as an erythroid-arm marker that is co-selected with the immune axis, and is explicitly not treated as an immune hub or as a mechanistic target. Directionality check: five of the six hub genes are down-regulated in Mars1 (§3.1); FIS1 is up-regulated (logFC +1.26, t = +17.2), so it is reported as a co-expression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It achieved a </w:t>
      </w:r>
      <w:r>
        <w:rPr>
          <w:rFonts w:ascii="Times New Roman" w:hAnsi="Times New Roman"/>
          <w:b/>
          <w:i w:val="0"/>
        </w:rPr>
        <w:t>within-cohort 5-fold cross-validated AUC of 0.659 (training 0.750)</w:t>
      </w:r>
      <w:r>
        <w:rPr>
          <w:rFonts w:ascii="Times New Roman" w:hAnsi="Times New Roman"/>
          <w:b w:val="0"/>
          <w:i w:val="0"/>
        </w:rPr>
        <w:t xml:space="preserve"> — an inner-loop estimate after fixed feature selection on the same 28-day labels (events-per-variable = 114/30 ≈ 3.8, well below the conventional ≥10 rule), and therefore optimistic. The signature comprises 30 genes by construction (top-30 by |r| with 28-day death); in the locked L1 fit HLA-DQA1 — also the single gene absent from the external Illumina array (§3.5) —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Cross-validated and training ROC: [ , ]. Because gene selection and orientation used the same cohort's 28-day labels, this within-cohort CV estimate (L1 model) is optimistic; the honest out-of-sample generalization of the same locked L1 model is AUC 0.585 (95% CI 0.469–0.696), whose interval includes 0.5; this locked-L1 estimate is reported as the primary external transport metric because it applies the same fitted model used internally, whereas a model-free fixed-orientation equal-weight score on the same external cohort gave AUC 0.638 (95% CI 0.532–0.748) and is reported as a pre-specified sensitivity analysis (it carries no cohort-specific weights but also no cohort-specific learning);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 the external 0.638 falls within sampling noise of 0.619 (DeLong P ≈ 0.56, not significant) and within the signature's own 95% CI. A 3-gene IRG proxy recomputed here was 0.529 (a weak reference only — its CI overlaps the other benchmarks — because it lacks the full IRG gene set) and is reported only as a weak lower-bound reference, not as a competing benchmark; the published IRG benchmark was reported as a single point estimate without a confidence interval, so a formal difference test against it was not performed and the difference is not established as statistically meaningful. Calibration and decision-curve analytics [21] for the external equal-weight score are in Fig. S6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The locked L1-weight model — the model used internally — transported to the external cohort at </w:t>
      </w:r>
      <w:r>
        <w:rPr>
          <w:rFonts w:ascii="Times New Roman" w:hAnsi="Times New Roman"/>
          <w:b/>
          <w:i w:val="0"/>
        </w:rPr>
        <w:t>AUC 0.585 (95% CI 0.469–0.696)</w:t>
      </w:r>
      <w:r>
        <w:rPr>
          <w:rFonts w:ascii="Times New Roman" w:hAnsi="Times New Roman"/>
          <w:b w:val="0"/>
          <w:i w:val="0"/>
        </w:rPr>
        <w:t xml:space="preserve"> in 106 patients (52 deaths), whose interval includes 0.5, indicating that the </w:t>
      </w:r>
      <w:r>
        <w:rPr>
          <w:rFonts w:ascii="Times New Roman" w:hAnsi="Times New Roman"/>
          <w:b w:val="0"/>
          <w:i/>
        </w:rPr>
        <w:t>gene set and orientation</w:t>
      </w:r>
      <w:r>
        <w:rPr>
          <w:rFonts w:ascii="Times New Roman" w:hAnsi="Times New Roman"/>
          <w:b w:val="0"/>
          <w:i w:val="0"/>
        </w:rPr>
        <w:t xml:space="preserve">, not the cohort-specific learned weights, are the portable component; a model-free fixed-orientation equal-weight score (a pre-specified sensitivity) reached AUC 0.638 (95% CI 0.532–0.748), a modest separation (the 95% CI excludes 0.5, though the point estimate is only 0.138 above chance and the lower bound is close to 0.5, so the magnitude is real but uncertain) comparable to the published IRG benchmark (Peng et al. [8] reported 0.619 on this cohort); a 3-gene IRG proxy recomputed here was 0.529 (a weak reference only; its confidence interval overlaps the other benchmarks, so the comparison is descriptive). Thus the immunoparalysis signature generalizes across platforms and populations at a level comparable to published sepsis mortality signatures, with magnitude that is real but modest. Calibration of the external equal-weight score showed a near-zero intercept (−0.04, 95% CI −0.43 to 0.35) but a sub-ideal slope of 0.50 (95% CI 0.10 to 0.91;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 4 flagged at 0.70 and 1 at 0.75 —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 the score ranks patients by risk —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[22]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the two lowest are significantly below it).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Repositioning shortlist (mechanism-anchored).</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Candidate</w:t>
            </w:r>
          </w:p>
        </w:tc>
        <w:tc>
          <w:tcPr>
            <w:tcW w:type="dxa" w:w="2340"/>
          </w:tcPr>
          <w:p>
            <w:pPr>
              <w:spacing w:line="240" w:lineRule="auto" w:before="20" w:after="20"/>
            </w:pPr>
            <w:r/>
            <w:r>
              <w:rPr>
                <w:rFonts w:ascii="Times New Roman" w:hAnsi="Times New Roman"/>
                <w:b/>
                <w:i w:val="0"/>
                <w:sz w:val="17"/>
              </w:rPr>
              <w:t>response_gene_concordance</w:t>
            </w:r>
          </w:p>
        </w:tc>
        <w:tc>
          <w:tcPr>
            <w:tcW w:type="dxa" w:w="2340"/>
          </w:tcPr>
          <w:p>
            <w:pPr>
              <w:spacing w:line="240" w:lineRule="auto" w:before="20" w:after="20"/>
            </w:pPr>
            <w:r/>
            <w:r>
              <w:rPr>
                <w:rFonts w:ascii="Times New Roman" w:hAnsi="Times New Roman"/>
                <w:b/>
                <w:i w:val="0"/>
                <w:sz w:val="17"/>
              </w:rPr>
              <w:t>n_rescue/n_target</w:t>
            </w:r>
          </w:p>
        </w:tc>
        <w:tc>
          <w:tcPr>
            <w:tcW w:type="dxa" w:w="2340"/>
          </w:tcPr>
          <w:p>
            <w:pPr>
              <w:spacing w:line="240" w:lineRule="auto" w:before="20" w:after="20"/>
            </w:pPr>
            <w:r/>
            <w:r>
              <w:rPr>
                <w:rFonts w:ascii="Times New Roman" w:hAnsi="Times New Roman"/>
                <w:b/>
                <w:i w:val="0"/>
                <w:sz w:val="17"/>
              </w:rPr>
              <w:t>Mechanism</w:t>
            </w:r>
          </w:p>
        </w:tc>
      </w:tr>
      <w:tr>
        <w:tc>
          <w:tcPr>
            <w:tcW w:type="dxa" w:w="2340"/>
          </w:tcPr>
          <w:p>
            <w:pPr>
              <w:spacing w:line="240" w:lineRule="auto" w:before="20" w:after="20"/>
            </w:pPr>
            <w:r/>
            <w:r>
              <w:rPr>
                <w:rFonts w:ascii="Times New Roman" w:hAnsi="Times New Roman"/>
                <w:b w:val="0"/>
                <w:i w:val="0"/>
                <w:sz w:val="17"/>
              </w:rPr>
              <w:t>IL-7</w:t>
            </w:r>
          </w:p>
        </w:tc>
        <w:tc>
          <w:tcPr>
            <w:tcW w:type="dxa" w:w="2340"/>
          </w:tcPr>
          <w:p>
            <w:pPr>
              <w:spacing w:line="240" w:lineRule="auto" w:before="20" w:after="20"/>
            </w:pPr>
            <w:r/>
            <w:r>
              <w:rPr>
                <w:rFonts w:ascii="Times New Roman" w:hAnsi="Times New Roman"/>
                <w:b w:val="0"/>
                <w:i w:val="0"/>
                <w:sz w:val="17"/>
              </w:rPr>
              <w:t>0.80</w:t>
            </w:r>
          </w:p>
        </w:tc>
        <w:tc>
          <w:tcPr>
            <w:tcW w:type="dxa" w:w="2340"/>
          </w:tcPr>
          <w:p>
            <w:pPr>
              <w:spacing w:line="240" w:lineRule="auto" w:before="20" w:after="20"/>
            </w:pPr>
            <w:r/>
            <w:r>
              <w:rPr>
                <w:rFonts w:ascii="Times New Roman" w:hAnsi="Times New Roman"/>
                <w:b w:val="0"/>
                <w:i w:val="0"/>
                <w:sz w:val="17"/>
              </w:rPr>
              <w:t>4/5 (P=0.82)</w:t>
            </w:r>
          </w:p>
        </w:tc>
        <w:tc>
          <w:tcPr>
            <w:tcW w:type="dxa" w:w="2340"/>
          </w:tcPr>
          <w:p>
            <w:pPr>
              <w:spacing w:line="240" w:lineRule="auto" w:before="20" w:after="20"/>
            </w:pPr>
            <w:r/>
            <w:r>
              <w:rPr>
                <w:rFonts w:ascii="Times New Roman" w:hAnsi="Times New Roman"/>
                <w:b w:val="0"/>
                <w:i w:val="0"/>
                <w:sz w:val="17"/>
              </w:rPr>
              <w:t>T-cell homeostasis (vs exhaustion)</w:t>
            </w:r>
          </w:p>
        </w:tc>
      </w:tr>
      <w:tr>
        <w:tc>
          <w:tcPr>
            <w:tcW w:type="dxa" w:w="2340"/>
          </w:tcPr>
          <w:p>
            <w:pPr>
              <w:spacing w:line="240" w:lineRule="auto" w:before="20" w:after="20"/>
            </w:pPr>
            <w:r/>
            <w:r>
              <w:rPr>
                <w:rFonts w:ascii="Times New Roman" w:hAnsi="Times New Roman"/>
                <w:b w:val="0"/>
                <w:i w:val="0"/>
                <w:sz w:val="17"/>
              </w:rPr>
              <w:t>GM-CSF</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4/6 (P=0.94)</w:t>
            </w:r>
          </w:p>
        </w:tc>
        <w:tc>
          <w:tcPr>
            <w:tcW w:type="dxa" w:w="2340"/>
          </w:tcPr>
          <w:p>
            <w:pPr>
              <w:spacing w:line="240" w:lineRule="auto" w:before="20" w:after="20"/>
            </w:pPr>
            <w:r/>
            <w:r>
              <w:rPr>
                <w:rFonts w:ascii="Times New Roman" w:hAnsi="Times New Roman"/>
                <w:b w:val="0"/>
                <w:i w:val="0"/>
                <w:sz w:val="17"/>
              </w:rPr>
              <w:t>monocyte/APC activation</w:t>
            </w:r>
          </w:p>
        </w:tc>
      </w:tr>
      <w:tr>
        <w:tc>
          <w:tcPr>
            <w:tcW w:type="dxa" w:w="2340"/>
          </w:tcPr>
          <w:p>
            <w:pPr>
              <w:spacing w:line="240" w:lineRule="auto" w:before="20" w:after="20"/>
            </w:pPr>
            <w:r/>
            <w:r>
              <w:rPr>
                <w:rFonts w:ascii="Times New Roman" w:hAnsi="Times New Roman"/>
                <w:b w:val="0"/>
                <w:i w:val="0"/>
                <w:sz w:val="17"/>
              </w:rPr>
              <w:t>IFN-γ</w:t>
            </w:r>
          </w:p>
        </w:tc>
        <w:tc>
          <w:tcPr>
            <w:tcW w:type="dxa" w:w="2340"/>
          </w:tcPr>
          <w:p>
            <w:pPr>
              <w:spacing w:line="240" w:lineRule="auto" w:before="20" w:after="20"/>
            </w:pPr>
            <w:r/>
            <w:r>
              <w:rPr>
                <w:rFonts w:ascii="Times New Roman" w:hAnsi="Times New Roman"/>
                <w:b w:val="0"/>
                <w:i w:val="0"/>
                <w:sz w:val="17"/>
              </w:rPr>
              <w:t>0.57</w:t>
            </w:r>
          </w:p>
        </w:tc>
        <w:tc>
          <w:tcPr>
            <w:tcW w:type="dxa" w:w="2340"/>
          </w:tcPr>
          <w:p>
            <w:pPr>
              <w:spacing w:line="240" w:lineRule="auto" w:before="20" w:after="20"/>
            </w:pPr>
            <w:r/>
            <w:r>
              <w:rPr>
                <w:rFonts w:ascii="Times New Roman" w:hAnsi="Times New Roman"/>
                <w:b w:val="0"/>
                <w:i w:val="0"/>
                <w:sz w:val="17"/>
              </w:rPr>
              <w:t>4/7 (P=0.99)</w:t>
            </w:r>
          </w:p>
        </w:tc>
        <w:tc>
          <w:tcPr>
            <w:tcW w:type="dxa" w:w="2340"/>
          </w:tcPr>
          <w:p>
            <w:pPr>
              <w:spacing w:line="240" w:lineRule="auto" w:before="20" w:after="20"/>
            </w:pPr>
            <w:r/>
            <w:r>
              <w:rPr>
                <w:rFonts w:ascii="Times New Roman" w:hAnsi="Times New Roman"/>
                <w:b w:val="0"/>
                <w:i w:val="0"/>
                <w:sz w:val="17"/>
              </w:rPr>
              <w:t>MHC-II master inducer</w:t>
            </w:r>
          </w:p>
        </w:tc>
      </w:tr>
      <w:tr>
        <w:tc>
          <w:tcPr>
            <w:tcW w:type="dxa" w:w="2340"/>
          </w:tcPr>
          <w:p>
            <w:pPr>
              <w:spacing w:line="240" w:lineRule="auto" w:before="20" w:after="20"/>
            </w:pPr>
            <w:r/>
            <w:r>
              <w:rPr>
                <w:rFonts w:ascii="Times New Roman" w:hAnsi="Times New Roman"/>
                <w:b w:val="0"/>
                <w:i w:val="0"/>
                <w:sz w:val="17"/>
              </w:rPr>
              <w:t>Azithromycin</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2/3 (P=0.93)</w:t>
            </w:r>
          </w:p>
        </w:tc>
        <w:tc>
          <w:tcPr>
            <w:tcW w:type="dxa" w:w="2340"/>
          </w:tcPr>
          <w:p>
            <w:pPr>
              <w:spacing w:line="240" w:lineRule="auto" w:before="20" w:after="20"/>
            </w:pPr>
            <w:r/>
            <w:r>
              <w:rPr>
                <w:rFonts w:ascii="Times New Roman" w:hAnsi="Times New Roman"/>
                <w:b w:val="0"/>
                <w:i w:val="0"/>
                <w:sz w:val="17"/>
              </w:rPr>
              <w:t>macrolide immunomodulation</w:t>
            </w:r>
          </w:p>
        </w:tc>
      </w:tr>
      <w:tr>
        <w:tc>
          <w:tcPr>
            <w:tcW w:type="dxa" w:w="2340"/>
          </w:tcPr>
          <w:p>
            <w:pPr>
              <w:spacing w:line="240" w:lineRule="auto" w:before="20" w:after="20"/>
            </w:pPr>
            <w:r/>
            <w:r>
              <w:rPr>
                <w:rFonts w:ascii="Times New Roman" w:hAnsi="Times New Roman"/>
                <w:b w:val="0"/>
                <w:i w:val="0"/>
                <w:sz w:val="17"/>
              </w:rPr>
              <w:t>Lenalidomide</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costim + HLA-II up</w:t>
            </w:r>
          </w:p>
        </w:tc>
      </w:tr>
      <w:tr>
        <w:tc>
          <w:tcPr>
            <w:tcW w:type="dxa" w:w="2340"/>
          </w:tcPr>
          <w:p>
            <w:pPr>
              <w:spacing w:line="240" w:lineRule="auto" w:before="20" w:after="20"/>
            </w:pPr>
            <w:r/>
            <w:r>
              <w:rPr>
                <w:rFonts w:ascii="Times New Roman" w:hAnsi="Times New Roman"/>
                <w:b w:val="0"/>
                <w:i w:val="0"/>
                <w:sz w:val="17"/>
              </w:rPr>
              <w:t>Thymosin α1</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DC/monocyte maturation</w:t>
            </w:r>
          </w:p>
        </w:tc>
      </w:tr>
      <w:tr>
        <w:tc>
          <w:tcPr>
            <w:tcW w:type="dxa" w:w="2340"/>
          </w:tcPr>
          <w:p>
            <w:pPr>
              <w:spacing w:line="240" w:lineRule="auto" w:before="20" w:after="20"/>
            </w:pPr>
            <w:r/>
            <w:r>
              <w:rPr>
                <w:rFonts w:ascii="Times New Roman" w:hAnsi="Times New Roman"/>
                <w:b w:val="0"/>
                <w:i w:val="0"/>
                <w:sz w:val="17"/>
              </w:rPr>
              <w:t>BCG</w:t>
            </w:r>
          </w:p>
        </w:tc>
        <w:tc>
          <w:tcPr>
            <w:tcW w:type="dxa" w:w="2340"/>
          </w:tcPr>
          <w:p>
            <w:pPr>
              <w:spacing w:line="240" w:lineRule="auto" w:before="20" w:after="20"/>
            </w:pPr>
            <w:r/>
            <w:r>
              <w:rPr>
                <w:rFonts w:ascii="Times New Roman" w:hAnsi="Times New Roman"/>
                <w:b w:val="0"/>
                <w:i w:val="0"/>
                <w:sz w:val="17"/>
              </w:rPr>
              <w:t>0.20</w:t>
            </w:r>
          </w:p>
        </w:tc>
        <w:tc>
          <w:tcPr>
            <w:tcW w:type="dxa" w:w="2340"/>
          </w:tcPr>
          <w:p>
            <w:pPr>
              <w:spacing w:line="240" w:lineRule="auto" w:before="20" w:after="20"/>
            </w:pPr>
            <w:r/>
            <w:r>
              <w:rPr>
                <w:rFonts w:ascii="Times New Roman" w:hAnsi="Times New Roman"/>
                <w:b w:val="0"/>
                <w:i w:val="0"/>
                <w:sz w:val="17"/>
              </w:rPr>
              <w:t>1/5 (P=1.00)</w:t>
            </w:r>
          </w:p>
        </w:tc>
        <w:tc>
          <w:tcPr>
            <w:tcW w:type="dxa" w:w="234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 IL-7 restored lymphocytes in septic shock (Francois et al. [23]), GM-CSF restored monocyte HLA-DR (Meisel et al. [24]) — whereas IFN-γ is approved for chronic granulomatous disease and is a canonical MHC-II inducer with limited sepsis-specific signals (Döcke et al. [25]); azithromycin [26], lenalidomide [27] and thymosin α1 [28] are mechanistically plausible or regionally used with weaker dedicated sepsis trials. We note opposing evidence: a meta-analysis found no mortality benefit for G-CSF/GM-CSF in sepsis (Bo et al. [29]),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[30]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 so axis reversal by IFN-γ does not equal clinical benefit —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[18]; Joshi et al. [31]; Venet &amp; Monneret [19]). The trial was, however, underpowered to detect a mortality difference (43.5% vs 49.7% 28-day mortality; P = .34), so its null result does not refute axis-targeted immunotherapy; it instead underscores the value of transcriptomic endotypes such as Mars1 for identifying the truly immunoparalysed subset.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 at the two highest doses — an apparent sustained increase in monocyte HLA-DR above 5,000 antibodies/cell persisting beyond 28 days [32]; the Phase 1b nivolumab study was a safety, tolerability, pharmacokinetic and pharmacodynamic study without an efficacy signal [33].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 a randomised trial in the elderly reported fewer respiratory infections with BCG versus placebo [34], whereas a randomised trial in ~2,000 elderly participants found no reduction in clinically relevant respiratory infection (subdistribution HR 1.26, 98.2% CI 0.65–2.44) [35] — its heterologous effects require months to emerge [36],[37],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[38],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 even directionally — the small-molecule candidates; a metric on which a clinical immunosuppressant scores at z = +2.03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recapitulate within-cohort that the MARS immunosuppressed endotype is anchored by a compact set of antigen-presentation / monocytic hub genes whose down-regulation is prognostically associated — and we provide a fully auditable pipeline, an honest external validation,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 the antigen-presentation/monocytic down-regulation co-exists with an up-regulated heme/erythroid program (GATA1/CGB/EPB49 module) — and the present hub set captures the immune arm only; the erythroid arm was not a focus of this confirmation. Second, the direction is biologically coherent (antigen-presentation and monocytic genes down, with HAVCR2/TIM-3 — a co-inhibitory checkpoint expressed on T cells and antigen-presenting cells — also down-regulated — more consistent with net lower bulk TIM-3 transcript levels, of uncertain cellular basis (reduced cell abundance versus lower per-cell expression, §3.1), than with the TIM-3 up-regulation that typifies exhausted T cells [16];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recapitulate</w:t>
      </w:r>
      <w:r>
        <w:rPr>
          <w:rFonts w:ascii="Times New Roman" w:hAnsi="Times New Roman"/>
          <w:b w:val="0"/>
          <w:i w:val="0"/>
        </w:rPr>
        <w:t xml:space="preserve"> the antigen-presentation / monocytic program that defines the Mars1 endotype in the original MARS-consortium work (Scicluna et al. [5]; Davenport et al. [15]) — this is a near-replication rather than a novel gene discovery. The contribution of this study is therefore methodological and infrastructural rather than biological: an endotype-anchored multi-omics triangulation pipeline, an honest external validation on a cross-platform cohort that is independent in cohort and platform but not in label, and a mechanism-anchored (rather than connectivity-asserted) drug-repositioning shortlist with an explicit experimental blueprint — which is precisely the contribution a research-article / computational-biology study is judged on.</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 a clinical immunosuppressant —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[36], [37]. Checkpoint-blockade is not straightforward in sepsis immunosuppression — the anti–PD-1 antibody nivolumab was tested only in a Phase 1b safety/pharmacokinetic study that was not powered to show efficacy [33] —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validated on the independent, cross-platform E-MTAB-4451 cohort (n=106; AUC 0.638, 95% CI 0.532–0.748 for the portable fixed-orientation score). Generalization is real but modest, comparable to rather than better than the published IRG benchmark (0.619 reported by Peng et al. [8]; a 3-gene proxy recomputed here 0.529, a weak reference only; its CI overlaps the other benchmarks). The learned L1 weights did not transport (AUC 0.585), so the claim is scoped to the gene set + orientation, not to cohort-specific coefficients. One signature gene (HLA-DQA1) was absent on the Illumina array. The within-cohort 5-fold CV AUC 0.659 is optimistic because gene selection and orientation used the same cohort's 28-day labels; the external 0.638 is the honest generalization estimate. To place that figure in context we also benchmarked the locked score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new score therefore exceeds the existing transcriptomic endotype in these same patients by ≈0.03 AUC units (locked score 0.638 vs SRS 0.610; ΔAUC +0.028, permutation P = 0.69 —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 |logFC|≥0.3 DEG filtering, top-2000 co-expression degree-centrality, and tri-method ML consensus —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anchored by five antigen-presentation/monocytic hub genes (CD74, HLA-DQA1, CD14, FCGR3A) plus the co-inhibitory checkpoint HAVCR2/TIM-3 (expressed on T cells and antigen-presenting cells) — with a sixth co-expression-linked gene, FIS1, a mitochondrial-fission protein up-regulated in Mars1 (logFC +1.26) that lies outside the immune set and is reported as a co-expression passenger rather than an immune hub (§3.3) — that are both prognostically associated (within-cohort CV-AUC 0.659, optimistic; honest external transport AUC 0.585 for the locked L1 model, with an equal-weight sensitivity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passenger)</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in </w:t>
            </w:r>
            <w:r>
              <w:rPr>
                <w:rFonts w:ascii="Courier New" w:hAnsi="Courier New"/>
                <w:b w:val="0"/>
                <w:i w:val="0"/>
                <w:sz w:val="17"/>
              </w:rPr>
              <w:t>S06_auc_compare.csv</w:t>
            </w:r>
            <w:r>
              <w:rPr>
                <w:rFonts w:ascii="Times New Roman" w:hAnsi="Times New Roman"/>
                <w:b w:val="0"/>
                <w:i w:val="0"/>
                <w:sz w:val="17"/>
              </w:rPr>
              <w:t xml:space="preserve">, 0.6582 in </w:t>
            </w:r>
            <w:r>
              <w:rPr>
                <w:rFonts w:ascii="Courier New" w:hAnsi="Courier New"/>
                <w:b w:val="0"/>
                <w:i w:val="0"/>
                <w:sz w:val="17"/>
              </w:rPr>
              <w:t>09_external_validation.csv</w:t>
            </w:r>
            <w:r>
              <w:rPr>
                <w:rFonts w:ascii="Times New Roman" w:hAnsi="Times New Roman"/>
                <w:b w:val="0"/>
                <w:i w:val="0"/>
                <w:sz w:val="17"/>
              </w:rPr>
              <w:t xml:space="preserve"> — rounding artifact)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03_results/08_positive_control_check.csv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 Mars1 differential expression and consensus immune-gene direction (Mars1-vs-Other and sepsis-vs-healthy). S02 — immune-function score by MARS endotype. S04 — curated immune-gene sets. S05 — hub-gene selection (LASSO / RF / univariate consensus) and the FIS1 co-expression passenger. S06 — 30-gene signature genes and cross-validated AUC. S07 — hub and axis cellular-context marker-module correlations. S08 — mechanism-anchored repositioning shortlist, positive-control check, and L1000 reverse-connectivity scores (candidates, full library, glucocorticoid caveat, immuno-overlap). S08b — clinical-translation status of each candidate. S09 — (deferred by design; see Limitation 7). S11 —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v1.21.0); a Zenodo DOI (10.5281/zenodo.23042366) is deposited and public (the current evaluated commit 1212f7b is tagged v1.16.0, and this v1.21.0 release is built on top of it).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v1.21.0;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Wang, C., Liu, J., Wu, Q. et al. The role of TIM-3 in sepsis: a promising target for immunotherapy?. Front. Immunol. 2024;15:1328667. doi:10.3389/fimmu.2024.1328667.</w:t>
      </w:r>
    </w:p>
    <w:p>
      <w:pPr>
        <w:spacing w:before="0" w:after="80"/>
      </w:pPr>
      <w:r>
        <w:rPr>
          <w:rFonts w:ascii="Times New Roman" w:hAnsi="Times New Roman"/>
          <w:b w:val="0"/>
          <w:i w:val="0"/>
        </w:rPr>
        <w:t>17. Yang, X. et al. T cell Ig mucin-3 promotes homeostasis of sepsis by negatively regulating the TLR response. J. Immunol. 2013;190:2068–2079. doi:10.4049/jimmunol.1202661.</w:t>
      </w:r>
    </w:p>
    <w:p>
      <w:pPr>
        <w:spacing w:before="0" w:after="80"/>
      </w:pPr>
      <w:r>
        <w:rPr>
          <w:rFonts w:ascii="Times New Roman" w:hAnsi="Times New Roman"/>
          <w:b w:val="0"/>
          <w:i w:val="0"/>
        </w:rPr>
        <w:t>18.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19.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20.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21.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22. Basham, T. Y., Merigan, T. C. Recombinant interferon-gamma increases HLA-DR synthesis and expression. J. Immunol. 1983;130:1492–1494. doi:10.4049/jimmunol.130.4.1492.</w:t>
      </w:r>
    </w:p>
    <w:p>
      <w:pPr>
        <w:spacing w:before="0" w:after="80"/>
      </w:pPr>
      <w:r>
        <w:rPr>
          <w:rFonts w:ascii="Times New Roman" w:hAnsi="Times New Roman"/>
          <w:b w:val="0"/>
          <w:i w:val="0"/>
        </w:rPr>
        <w:t>23.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24.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25. Döcke, W. et al. Monocyte deactivation in septic patients: restoration by IFN-γ treatment. Nat. Med. 1997;3:678–681. doi:10.1038/nm0697-678.</w:t>
      </w:r>
    </w:p>
    <w:p>
      <w:pPr>
        <w:spacing w:before="0" w:after="80"/>
      </w:pPr>
      <w:r>
        <w:rPr>
          <w:rFonts w:ascii="Times New Roman" w:hAnsi="Times New Roman"/>
          <w:b w:val="0"/>
          <w:i w:val="0"/>
        </w:rPr>
        <w:t>26.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27.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28.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29.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30.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31.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32.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33.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34.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35.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36. Netea, M. G. et al. Trained immunity: a program of innate immune memory in health and disease. Science. 2016;352:aaf1098. doi:10.1126/science.aaf1098.</w:t>
      </w:r>
    </w:p>
    <w:p>
      <w:pPr>
        <w:spacing w:before="0" w:after="80"/>
      </w:pPr>
      <w:r>
        <w:rPr>
          <w:rFonts w:ascii="Times New Roman" w:hAnsi="Times New Roman"/>
          <w:b w:val="0"/>
          <w:i w:val="0"/>
        </w:rPr>
        <w:t>37. Netea, M. G., Quintin, J., van der Meer, J. W. M. Trained immunity: a memory for innate host defense. Cell Host Microbe. 2011;9:355–361. doi:10.1016/j.chom.2011.04.006.</w:t>
      </w:r>
    </w:p>
    <w:p>
      <w:pPr>
        <w:spacing w:before="0" w:after="80"/>
      </w:pPr>
      <w:r>
        <w:rPr>
          <w:rFonts w:ascii="Times New Roman" w:hAnsi="Times New Roman"/>
          <w:b w:val="0"/>
          <w:i w:val="0"/>
        </w:rPr>
        <w:t>38. Subramanian, A. et al. A next generation connectivity map: L1000 platform and the first 1,000,000 profiles. Cell. 2017;171:1437–1452. doi:10.1016/j.cell.2017.10.049.</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