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0"/>
        </w:rPr>
        <w:t>Cover letter</w:t>
      </w:r>
    </w:p>
    <w:p>
      <w:pPr>
        <w:spacing w:before="0" w:after="80"/>
      </w:pPr>
      <w:r>
        <w:rPr>
          <w:rFonts w:ascii="Times New Roman" w:hAnsi="Times New Roman"/>
          <w:b/>
          <w:i w:val="0"/>
        </w:rPr>
        <w:t>Manuscript title:</w:t>
      </w:r>
      <w:r>
        <w:rPr>
          <w:rFonts w:ascii="Times New Roman" w:hAnsi="Times New Roman"/>
          <w:b w:val="0"/>
          <w:i w:val="0"/>
        </w:rPr>
        <w:t xml:space="preserve"> A reproducible pipeline confirms the MARS Mars1 immunoparalysis program and externally evaluates a 30-gene sepsis prognostic signature</w:t>
      </w:r>
    </w:p>
    <w:p>
      <w:pPr>
        <w:spacing w:before="0" w:after="80"/>
      </w:pPr>
      <w:r>
        <w:rPr>
          <w:rFonts w:ascii="Times New Roman" w:hAnsi="Times New Roman"/>
          <w:b/>
          <w:i w:val="0"/>
        </w:rPr>
        <w:t>Article type:</w:t>
      </w:r>
      <w:r>
        <w:rPr>
          <w:rFonts w:ascii="Times New Roman" w:hAnsi="Times New Roman"/>
          <w:b w:val="0"/>
          <w:i w:val="0"/>
        </w:rPr>
        <w:t xml:space="preserve"> Article (original research)</w:t>
      </w:r>
    </w:p>
    <w:p>
      <w:pPr>
        <w:spacing w:before="0" w:after="80"/>
      </w:pPr>
      <w:r>
        <w:rPr>
          <w:rFonts w:ascii="Times New Roman" w:hAnsi="Times New Roman"/>
          <w:b/>
          <w:i w:val="0"/>
        </w:rPr>
        <w:t>Corresponding author:</w:t>
      </w:r>
      <w:r>
        <w:rPr>
          <w:rFonts w:ascii="Times New Roman" w:hAnsi="Times New Roman"/>
          <w:b w:val="0"/>
          <w:i w:val="0"/>
        </w:rPr>
        <w:t xml:space="preserve"> Yongxin Yang, The Second Affiliated Hospital of Fujian University of Traditional Chinese Medicine, Fuzhou, Fujian 350003, China. Email: 960856791@qq.com. ORCID: 0009-0004-9698-6552.</w:t>
      </w:r>
    </w:p>
    <w:p>
      <w:pPr>
        <w:spacing w:before="0" w:after="80"/>
      </w:pPr>
      <w:r>
        <w:rPr>
          <w:rFonts w:ascii="Times New Roman" w:hAnsi="Times New Roman"/>
          <w:b/>
          <w:i w:val="0"/>
        </w:rPr>
        <w:t>Dear Editor,</w:t>
      </w:r>
    </w:p>
    <w:p>
      <w:pPr>
        <w:spacing w:before="0" w:after="80"/>
      </w:pPr>
      <w:r>
        <w:rPr>
          <w:rFonts w:ascii="Times New Roman" w:hAnsi="Times New Roman"/>
          <w:b w:val="0"/>
          <w:i w:val="0"/>
        </w:rPr>
        <w:t xml:space="preserve">Please find enclosed our manuscript for consideration as an Article in </w:t>
      </w:r>
      <w:r>
        <w:rPr>
          <w:rFonts w:ascii="Times New Roman" w:hAnsi="Times New Roman"/>
          <w:b w:val="0"/>
          <w:i/>
        </w:rPr>
        <w:t>Scientific Reports</w:t>
      </w:r>
      <w:r>
        <w:rPr>
          <w:rFonts w:ascii="Times New Roman" w:hAnsi="Times New Roman"/>
          <w:b w:val="0"/>
          <w:i w:val="0"/>
        </w:rPr>
        <w:t xml:space="preserve">. This is a single-author, purely computational re-analysis of two public transcriptomic cohorts (GSE65682; E-MTAB-4451), with no new primary data generated. </w:t>
      </w:r>
      <w:r>
        <w:rPr>
          <w:rFonts w:ascii="Times New Roman" w:hAnsi="Times New Roman"/>
          <w:b w:val="0"/>
          <w:i/>
        </w:rPr>
        <w:t>Scientific Reports</w:t>
      </w:r>
      <w:r>
        <w:rPr>
          <w:rFonts w:ascii="Times New Roman" w:hAnsi="Times New Roman"/>
          <w:b w:val="0"/>
          <w:i w:val="0"/>
        </w:rPr>
        <w:t xml:space="preserve"> evaluates submissions on methodological rigour and scientific validity rather than perceived novelty; our contribution is precisely a reproducible, fully auditable analytical pipeline, an honest external validation that is independent in cohort and platform but not in label, and an explicit experimental blueprint — not novel hub-gene discovery.</w:t>
      </w:r>
    </w:p>
    <w:p>
      <w:pPr>
        <w:spacing w:before="0" w:after="80"/>
      </w:pPr>
      <w:r>
        <w:rPr>
          <w:rFonts w:ascii="Times New Roman" w:hAnsi="Times New Roman"/>
          <w:b/>
          <w:i w:val="0"/>
        </w:rPr>
        <w:t>What the study does.</w:t>
      </w:r>
    </w:p>
    <w:p>
      <w:pPr>
        <w:spacing w:before="0" w:after="80"/>
      </w:pPr>
      <w:r>
        <w:rPr>
          <w:rFonts w:ascii="Times New Roman" w:hAnsi="Times New Roman"/>
          <w:b w:val="0"/>
          <w:i w:val="0"/>
        </w:rPr>
        <w:t>We confirm and externally evaluate the MARS immunosuppressed (Mars1) endotype of sepsis and show that its immunoparalysis program is anchored by a compact set of antigen-presentation / monocytic hub genes (CD74, HLA-DQA1, CD14, FCGR3A) plus the co-inhibitory checkpoint HAVCR2/TIM-3 (expressed on T cells and antigen-presenting cells), and a non-immune co-expression passenger, FIS1. Two findings are source-traceable and modest in magnitude: (i) the Mars1 program shows coherent downregulation of antigen-presentation and monocytic genes (a near-replication of the published MARS program), and (ii) a 30-gene immune-risk signature generalised to AUC 0.638 (95% CI 0.532–0.748) on a cross-platform external cohort that is independent in cohort and platform but not in label — comparable to, not better than, the published immune-related-gene benchmark.</w:t>
      </w:r>
    </w:p>
    <w:p>
      <w:pPr>
        <w:spacing w:before="0" w:after="80"/>
      </w:pPr>
      <w:r>
        <w:rPr>
          <w:rFonts w:ascii="Times New Roman" w:hAnsi="Times New Roman"/>
          <w:b/>
          <w:i w:val="0"/>
        </w:rPr>
        <w:t>What the study does NOT claim.</w:t>
      </w:r>
    </w:p>
    <w:p>
      <w:pPr>
        <w:spacing w:before="0" w:after="80"/>
      </w:pPr>
      <w:r>
        <w:rPr>
          <w:rFonts w:ascii="Times New Roman" w:hAnsi="Times New Roman"/>
          <w:b w:val="0"/>
          <w:i w:val="0"/>
        </w:rPr>
        <w:t>We wish to be explicit about the evidence hierarchy, because it bounds our claims:</w:t>
      </w:r>
    </w:p>
    <w:p>
      <w:pPr>
        <w:pStyle w:val="ListBullet"/>
        <w:spacing w:after="40"/>
      </w:pPr>
      <w:r>
        <w:rPr>
          <w:rFonts w:ascii="Times New Roman" w:hAnsi="Times New Roman"/>
          <w:b w:val="0"/>
          <w:i w:val="0"/>
        </w:rPr>
        <w:t xml:space="preserve">The two-sample Mendelian randomisation layer (germline eQTL of the hub genes on UK Biobank sepsis outcomes) is </w:t>
      </w:r>
      <w:r>
        <w:rPr>
          <w:rFonts w:ascii="Times New Roman" w:hAnsi="Times New Roman"/>
          <w:b/>
          <w:i w:val="0"/>
        </w:rPr>
        <w:t>hypothesis-generating only</w:t>
      </w:r>
      <w:r>
        <w:rPr>
          <w:rFonts w:ascii="Times New Roman" w:hAnsi="Times New Roman"/>
          <w:b w:val="0"/>
          <w:i w:val="0"/>
        </w:rPr>
        <w:t>. No primary IVW estimate reached significance; the one nominally significant MR-Egger signal (CD14) is uncorroborated by IVW or the weighted median and rests on few instruments. We further disclose that the eQTLGen exposure and the UK Biobank sepsis outcomes share participants (exposure–outcome sample overlap), for which we applied no correction.</w:t>
      </w:r>
    </w:p>
    <w:p>
      <w:pPr>
        <w:pStyle w:val="ListBullet"/>
        <w:spacing w:after="40"/>
      </w:pPr>
      <w:r>
        <w:rPr>
          <w:rFonts w:ascii="Times New Roman" w:hAnsi="Times New Roman"/>
          <w:b w:val="0"/>
          <w:i w:val="0"/>
        </w:rPr>
        <w:t xml:space="preserve">The drug-repositioning layer uses a </w:t>
      </w:r>
      <w:r>
        <w:rPr>
          <w:rFonts w:ascii="Times New Roman" w:hAnsi="Times New Roman"/>
          <w:b/>
          <w:i w:val="0"/>
        </w:rPr>
        <w:t>curated downstream response-gene concordance</w:t>
      </w:r>
      <w:r>
        <w:rPr>
          <w:rFonts w:ascii="Times New Roman" w:hAnsi="Times New Roman"/>
          <w:b w:val="0"/>
          <w:i w:val="0"/>
        </w:rPr>
        <w:t>, not direct pharmacologic-target overlap (no DGIdb/ChEMBL pull was performed), and its method-positive gate verifies a curated prior rather than independently discriminating true from false positives. Unbiased LINCS L1000 connectivity evidence covers only the two small-molecule candidates; the five immunobiologic/vaccine candidates rest on mechanism-anchored annotation.</w:t>
      </w:r>
    </w:p>
    <w:p>
      <w:pPr>
        <w:pStyle w:val="ListBullet"/>
        <w:spacing w:after="40"/>
      </w:pPr>
      <w:r>
        <w:rPr>
          <w:rFonts w:ascii="Times New Roman" w:hAnsi="Times New Roman"/>
          <w:b w:val="0"/>
          <w:i w:val="0"/>
        </w:rPr>
        <w:t xml:space="preserve">Functional validation of immune restoration is a </w:t>
      </w:r>
      <w:r>
        <w:rPr>
          <w:rFonts w:ascii="Times New Roman" w:hAnsi="Times New Roman"/>
          <w:b/>
          <w:i w:val="0"/>
        </w:rPr>
        <w:t>prospective design blueprint (S11)</w:t>
      </w:r>
      <w:r>
        <w:rPr>
          <w:rFonts w:ascii="Times New Roman" w:hAnsi="Times New Roman"/>
          <w:b w:val="0"/>
          <w:i w:val="0"/>
        </w:rPr>
        <w:t>, not data.</w:t>
      </w:r>
    </w:p>
    <w:p>
      <w:pPr>
        <w:spacing w:before="0" w:after="80"/>
      </w:pPr>
      <w:r>
        <w:rPr>
          <w:rFonts w:ascii="Times New Roman" w:hAnsi="Times New Roman"/>
          <w:b w:val="0"/>
          <w:i w:val="0"/>
        </w:rPr>
        <w:t xml:space="preserve">We believe the manuscript fits </w:t>
      </w:r>
      <w:r>
        <w:rPr>
          <w:rFonts w:ascii="Times New Roman" w:hAnsi="Times New Roman"/>
          <w:b w:val="0"/>
          <w:i/>
        </w:rPr>
        <w:t>Scientific Reports</w:t>
      </w:r>
      <w:r>
        <w:rPr>
          <w:rFonts w:ascii="Times New Roman" w:hAnsi="Times New Roman"/>
          <w:b w:val="0"/>
          <w:i w:val="0"/>
        </w:rPr>
        <w:t xml:space="preserve"> because it combines a biologically inevitable, externally validated signal with an honest, tiered presentation of the weaker repositioning and genetic-causality layers — a framing we hope is useful to readers navigating computational sepsis immunotherapy.</w:t>
      </w:r>
    </w:p>
    <w:p>
      <w:pPr>
        <w:spacing w:before="0" w:after="80"/>
      </w:pPr>
      <w:r>
        <w:rPr>
          <w:rFonts w:ascii="Times New Roman" w:hAnsi="Times New Roman"/>
          <w:b/>
          <w:i w:val="0"/>
        </w:rPr>
        <w:t>Conflicts of interest:</w:t>
      </w:r>
      <w:r>
        <w:rPr>
          <w:rFonts w:ascii="Times New Roman" w:hAnsi="Times New Roman"/>
          <w:b w:val="0"/>
          <w:i w:val="0"/>
        </w:rPr>
        <w:t xml:space="preserve"> none declared. </w:t>
      </w:r>
      <w:r>
        <w:rPr>
          <w:rFonts w:ascii="Times New Roman" w:hAnsi="Times New Roman"/>
          <w:b/>
          <w:i w:val="0"/>
        </w:rPr>
        <w:t>Funding:</w:t>
      </w:r>
      <w:r>
        <w:rPr>
          <w:rFonts w:ascii="Times New Roman" w:hAnsi="Times New Roman"/>
          <w:b w:val="0"/>
          <w:i w:val="0"/>
        </w:rPr>
        <w:t xml:space="preserve"> none. </w:t>
      </w:r>
      <w:r>
        <w:rPr>
          <w:rFonts w:ascii="Times New Roman" w:hAnsi="Times New Roman"/>
          <w:b/>
          <w:i w:val="0"/>
        </w:rPr>
        <w:t>Ethics:</w:t>
      </w:r>
      <w:r>
        <w:rPr>
          <w:rFonts w:ascii="Times New Roman" w:hAnsi="Times New Roman"/>
          <w:b w:val="0"/>
          <w:i w:val="0"/>
        </w:rPr>
        <w:t xml:space="preserve"> purely computational re-analysis of public de-identified cohorts; no IRB approval required for the bioinformatics. </w:t>
      </w:r>
      <w:r>
        <w:rPr>
          <w:rFonts w:ascii="Times New Roman" w:hAnsi="Times New Roman"/>
          <w:b/>
          <w:i w:val="0"/>
        </w:rPr>
        <w:t>Data/code availability:</w:t>
      </w:r>
      <w:r>
        <w:rPr>
          <w:rFonts w:ascii="Times New Roman" w:hAnsi="Times New Roman"/>
          <w:b w:val="0"/>
          <w:i w:val="0"/>
        </w:rPr>
        <w:t xml:space="preserve"> all result tables and analysis code are released under MIT at https://github.com/yyx-4113/sepsis-immunoparalysis-hub (citable GitHub release, tag v1.19.1; Zenodo DOI on acceptance).</w:t>
      </w:r>
    </w:p>
    <w:p>
      <w:pPr>
        <w:spacing w:before="0" w:after="80"/>
      </w:pPr>
      <w:r>
        <w:rPr>
          <w:rFonts w:ascii="Times New Roman" w:hAnsi="Times New Roman"/>
          <w:b w:val="0"/>
          <w:i w:val="0"/>
        </w:rPr>
        <w:t>Thank you for your consideration.</w:t>
      </w:r>
    </w:p>
    <w:p>
      <w:pPr>
        <w:spacing w:before="0" w:after="80"/>
      </w:pPr>
      <w:r>
        <w:rPr>
          <w:rFonts w:ascii="Times New Roman" w:hAnsi="Times New Roman"/>
          <w:b w:val="0"/>
          <w:i w:val="0"/>
        </w:rPr>
        <w:t>Yongxin Yang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