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i w:val="0"/>
          <w:sz w:val="30"/>
        </w:rPr>
        <w:t>A reproducible pipeline confirms the MARS Mars1 immunoparalysis program and externally evaluates a 30-gene sepsis prognostic signature</w:t>
      </w:r>
    </w:p>
    <w:p>
      <w:pPr>
        <w:spacing w:before="0" w:after="40"/>
        <w:jc w:val="center"/>
      </w:pPr>
      <w:r>
        <w:rPr>
          <w:rFonts w:ascii="Times New Roman" w:hAnsi="Times New Roman"/>
          <w:b/>
          <w:i w:val="0"/>
          <w:sz w:val="22"/>
        </w:rPr>
        <w:t>Yongxin Yang</w:t>
      </w:r>
      <w:r>
        <w:rPr>
          <w:rFonts w:ascii="Times New Roman" w:hAnsi="Times New Roman"/>
          <w:b w:val="0"/>
          <w:i w:val="0"/>
          <w:sz w:val="22"/>
        </w:rPr>
        <w:t xml:space="preserve"> (Corresponding author)</w:t>
      </w:r>
    </w:p>
    <w:p>
      <w:pPr>
        <w:spacing w:before="0" w:after="40"/>
        <w:jc w:val="center"/>
      </w:pPr>
      <w:r>
        <w:rPr>
          <w:rFonts w:ascii="Times New Roman" w:hAnsi="Times New Roman"/>
          <w:b w:val="0"/>
          <w:i w:val="0"/>
          <w:sz w:val="22"/>
        </w:rPr>
        <w:t>The Second Affiliated Hospital of Fujian University of Traditional Chinese Medicine, Fuzhou, Fujian 350003, China</w:t>
      </w:r>
    </w:p>
    <w:p>
      <w:pPr>
        <w:spacing w:before="0" w:after="40"/>
        <w:jc w:val="center"/>
      </w:pPr>
      <w:r>
        <w:rPr>
          <w:rFonts w:ascii="Times New Roman" w:hAnsi="Times New Roman"/>
          <w:b w:val="0"/>
          <w:i w:val="0"/>
          <w:sz w:val="22"/>
        </w:rPr>
        <w:t>ORCID: 0009-0004-9698-6552</w:t>
      </w:r>
    </w:p>
    <w:p>
      <w:pPr>
        <w:spacing w:before="0" w:after="40"/>
        <w:jc w:val="center"/>
      </w:pPr>
      <w:r>
        <w:rPr>
          <w:rFonts w:ascii="Times New Roman" w:hAnsi="Times New Roman"/>
          <w:b w:val="0"/>
          <w:i w:val="0"/>
          <w:sz w:val="22"/>
        </w:rPr>
        <w:t>Email: 960856791@qq.com</w:t>
      </w:r>
    </w:p>
    <w:p>
      <w:pPr>
        <w:spacing w:before="0" w:after="40"/>
        <w:jc w:val="center"/>
      </w:pPr>
      <w:r>
        <w:rPr>
          <w:rFonts w:ascii="Times New Roman" w:hAnsi="Times New Roman"/>
          <w:b/>
          <w:i w:val="0"/>
          <w:sz w:val="22"/>
        </w:rPr>
        <w:t>Article type.</w:t>
      </w:r>
      <w:r>
        <w:rPr>
          <w:rFonts w:ascii="Times New Roman" w:hAnsi="Times New Roman"/>
          <w:b w:val="0"/>
          <w:i w:val="0"/>
          <w:sz w:val="22"/>
        </w:rPr>
        <w:t xml:space="preserve"> Article (original research). This is a computational-biology / methods-and-resources report: its contribution is a reproducible, fully auditable analytical pipeline, an honest external validation that is independent in cohort and platform but not in label (the score orientation was fixed on the discovery cohort's 28-day outcomes), and an explicit experimental blueprint — not novel hub-gene discovery (see Discussion). The five immune hubs recapitulate the established MARS Mars1 antigen-presentation program (a near-replication), and the Mendelian-randomisation layer is hypothesis-generating.</w:t>
      </w:r>
    </w:p>
    <w:p/>
    <w:p>
      <w:pPr>
        <w:spacing w:before="160" w:after="80"/>
      </w:pPr>
      <w:r>
        <w:rPr>
          <w:rFonts w:ascii="Times New Roman" w:hAnsi="Times New Roman"/>
          <w:b/>
          <w:i w:val="0"/>
          <w:sz w:val="25"/>
        </w:rPr>
        <w:t>Abstract (English)</w:t>
      </w:r>
    </w:p>
    <w:p>
      <w:pPr>
        <w:spacing w:before="0" w:after="80"/>
      </w:pPr>
      <w:r>
        <w:rPr>
          <w:rFonts w:ascii="Times New Roman" w:hAnsi="Times New Roman"/>
          <w:b w:val="0"/>
          <w:i w:val="0"/>
        </w:rPr>
        <w:t>Immunoparalysis, exemplified by the immunosuppressed Mars1 endotype, drives 28-day sepsis mortality, but actionable hubs and repositionable interventions remain limited. We re-analysed GSE65682 (802 samples) with an auditable multi-omics pipeline that confirms the Mars1 program and externally evaluates a prognostic signature. A consensus identified five immune hubs (CD74, HLA-DQA1, CD14, FCGR3A, HAVCR2/TIM-3) plus one non-immune passenger, FIS1 (logFC +1.26, up-regulated). A 30-gene immune-risk signature reached an external cross-platform AUC of 0.638 (95% CI 0.532–0.748; E-MTAB-4451, n = 106, 52 deaths), independent in cohort and platform but not in label. Within-cohort cross-validated AUC was 0.659 (optimistic). The result is comparable to the published benchmark (0.619; a 3-gene proxy here, 0.529, is a weak reference). Seven immune-modulating agents were prioritised. Two-sample Mendelian randomisation showed no significant inverse-variance-weighted effect on 28-day death (all OR 0.92–1.12, P ≥ 0.24). The only nominal signal, CD14 MR-Egger (OR 0.91, P = 0.049), did not survive the 15-test family correction (minimum q = 0.81); a reversed-direction CD74 critical-care association (IVW OR 2.222, P = 0.13 on t(2)) rested on three instruments. The MR layer remains hypothesis-generating; the contribution is a reproducible pipeline, an honest external validation and an experimental blueprint.</w:t>
      </w:r>
    </w:p>
    <w:p>
      <w:pPr>
        <w:spacing w:before="0" w:after="80"/>
      </w:pPr>
      <w:r>
        <w:rPr>
          <w:rFonts w:ascii="Times New Roman" w:hAnsi="Times New Roman"/>
          <w:b/>
          <w:i w:val="0"/>
        </w:rPr>
        <w:t>Keywords:</w:t>
      </w:r>
      <w:r>
        <w:rPr>
          <w:rFonts w:ascii="Times New Roman" w:hAnsi="Times New Roman"/>
          <w:b w:val="0"/>
          <w:i w:val="0"/>
        </w:rPr>
        <w:t xml:space="preserve"> sepsis; immunoparalysis; MARS endotype; Mars1; external validation; drug repositioning</w:t>
      </w:r>
    </w:p>
    <w:p/>
    <w:p>
      <w:pPr>
        <w:spacing w:before="160" w:after="80"/>
      </w:pPr>
      <w:r>
        <w:rPr>
          <w:rFonts w:ascii="Times New Roman" w:hAnsi="Times New Roman"/>
          <w:b/>
          <w:i w:val="0"/>
          <w:sz w:val="25"/>
        </w:rPr>
        <w:t>1. Introduction</w:t>
      </w:r>
    </w:p>
    <w:p>
      <w:pPr>
        <w:spacing w:before="0" w:after="80"/>
      </w:pPr>
      <w:r>
        <w:rPr>
          <w:rFonts w:ascii="Times New Roman" w:hAnsi="Times New Roman"/>
          <w:b w:val="0"/>
          <w:i w:val="0"/>
        </w:rPr>
        <w:t xml:space="preserve">Sepsis [1] remains a leading cause of ICU mortality. Sustained immunosuppression ("immunoparalysis") [2], [3], rather than hyperinflammation alone [4], is now recognized as a driver of late deaths and secondary infections. The MARS consortium stratified septic ICU patients into four transcriptomic endotypes; Mars1, the immunosuppressed subtype, carries a 39% 28-day mortality and is defined by downregulated HLA class-II, antigen-presentation and monocytic programs [5]; other transcriptomic and clinical sepsis endotypes have since been described [6]. Because this biology is already established, the open questions are analytic rather than discovery: (i) which </w:t>
      </w:r>
      <w:r>
        <w:rPr>
          <w:rFonts w:ascii="Times New Roman" w:hAnsi="Times New Roman"/>
          <w:b w:val="0"/>
          <w:i/>
        </w:rPr>
        <w:t>hub</w:t>
      </w:r>
      <w:r>
        <w:rPr>
          <w:rFonts w:ascii="Times New Roman" w:hAnsi="Times New Roman"/>
          <w:b w:val="0"/>
          <w:i w:val="0"/>
        </w:rPr>
        <w:t xml:space="preserve"> genes most parsimoniously anchor the immunosuppressed program and carry independent prognostic information — a confirmation/replication question, since the antigen-presentation program is known — and (ii) which approved drugs can </w:t>
      </w:r>
      <w:r>
        <w:rPr>
          <w:rFonts w:ascii="Times New Roman" w:hAnsi="Times New Roman"/>
          <w:b w:val="0"/>
          <w:i/>
        </w:rPr>
        <w:t>reverse</w:t>
      </w:r>
      <w:r>
        <w:rPr>
          <w:rFonts w:ascii="Times New Roman" w:hAnsi="Times New Roman"/>
          <w:b w:val="0"/>
          <w:i w:val="0"/>
        </w:rPr>
        <w:t xml:space="preserve"> the Mars1 signature for repurposing. We therefore frame this work as a reproducible, auditable confirmation-and-validation pipeline, not as novel-gene discovery.</w:t>
      </w:r>
    </w:p>
    <w:p>
      <w:pPr>
        <w:spacing w:before="0" w:after="80"/>
      </w:pPr>
      <w:r>
        <w:rPr>
          <w:rFonts w:ascii="Times New Roman" w:hAnsi="Times New Roman"/>
          <w:b w:val="0"/>
          <w:i w:val="0"/>
        </w:rPr>
        <w:t>We addressed both questions on the public GSE65682 cohort using a three-tier positive-anchor design: a biology-inevitable immunoparalysis signal (Tier-1), a method positive-control gate for drug repositioning (Tier-2), and an explicitly non-binding exploratory prognosis gate (Tier-3). All analytic stages emit auditable result files; every reported number traces to a concrete output (see §7).</w:t>
      </w:r>
    </w:p>
    <w:p>
      <w:pPr>
        <w:spacing w:before="160" w:after="80"/>
      </w:pPr>
      <w:r>
        <w:rPr>
          <w:rFonts w:ascii="Times New Roman" w:hAnsi="Times New Roman"/>
          <w:b/>
          <w:i w:val="0"/>
          <w:sz w:val="25"/>
        </w:rPr>
        <w:t>2. Materials and Methods</w:t>
      </w:r>
    </w:p>
    <w:p>
      <w:pPr>
        <w:spacing w:before="120" w:after="60"/>
      </w:pPr>
      <w:r>
        <w:rPr>
          <w:rFonts w:ascii="Times New Roman" w:hAnsi="Times New Roman"/>
          <w:b/>
          <w:i w:val="0"/>
          <w:sz w:val="22"/>
        </w:rPr>
        <w:t>2.1 Data</w:t>
      </w:r>
    </w:p>
    <w:p>
      <w:pPr>
        <w:spacing w:before="0" w:after="80"/>
      </w:pPr>
      <w:r>
        <w:rPr>
          <w:rFonts w:ascii="Times New Roman" w:hAnsi="Times New Roman"/>
          <w:b w:val="0"/>
          <w:i w:val="0"/>
        </w:rPr>
        <w:t xml:space="preserve">GSE65682 (GEO [7], NCBI) was downloaded as the family SOFT file and parsed with GEOparse 2.0.4. Platform is </w:t>
      </w:r>
      <w:r>
        <w:rPr>
          <w:rFonts w:ascii="Times New Roman" w:hAnsi="Times New Roman"/>
          <w:b/>
          <w:i w:val="0"/>
        </w:rPr>
        <w:t>GPL13667</w:t>
      </w:r>
      <w:r>
        <w:rPr>
          <w:rFonts w:ascii="Times New Roman" w:hAnsi="Times New Roman"/>
          <w:b w:val="0"/>
          <w:i w:val="0"/>
        </w:rPr>
        <w:t xml:space="preserve"> (Affymetrix Human Gene 1.0 ST; verified at file level: </w:t>
      </w:r>
      <w:r>
        <w:rPr>
          <w:rFonts w:ascii="Courier New" w:hAnsi="Courier New"/>
          <w:b w:val="0"/>
          <w:i w:val="0"/>
        </w:rPr>
        <w:t>!Series_platform_id = GPL13667</w:t>
      </w:r>
      <w:r>
        <w:rPr>
          <w:rFonts w:ascii="Times New Roman" w:hAnsi="Times New Roman"/>
          <w:b w:val="0"/>
          <w:i w:val="0"/>
        </w:rPr>
        <w:t xml:space="preserve"> in the downloaded family SOFT; the same GSE65682 cohort has also been reprocessed on GPL570 in prior work, e.g. Peng et al. [8]). After probe→gene aggregation (mean), the expression matrix comprised </w:t>
      </w:r>
      <w:r>
        <w:rPr>
          <w:rFonts w:ascii="Times New Roman" w:hAnsi="Times New Roman"/>
          <w:b/>
          <w:i w:val="0"/>
        </w:rPr>
        <w:t>11,519 genes × 802 samples</w:t>
      </w:r>
      <w:r>
        <w:rPr>
          <w:rFonts w:ascii="Times New Roman" w:hAnsi="Times New Roman"/>
          <w:b w:val="0"/>
          <w:i w:val="0"/>
        </w:rPr>
        <w:t xml:space="preserve">. Phenotype was derived from GEO characteristic columns: </w:t>
      </w:r>
      <w:r>
        <w:rPr>
          <w:rFonts w:ascii="Courier New" w:hAnsi="Courier New"/>
          <w:b w:val="0"/>
          <w:i w:val="0"/>
        </w:rPr>
        <w:t>group</w:t>
      </w:r>
      <w:r>
        <w:rPr>
          <w:rFonts w:ascii="Times New Roman" w:hAnsi="Times New Roman"/>
          <w:b w:val="0"/>
          <w:i w:val="0"/>
        </w:rPr>
        <w:t xml:space="preserve"> (sepsis n=760 / healthy </w:t>
      </w:r>
      <w:r>
        <w:rPr>
          <w:rFonts w:ascii="Courier New" w:hAnsi="Courier New"/>
          <w:b w:val="0"/>
          <w:i w:val="0"/>
        </w:rPr>
        <w:t>ctrl_GI</w:t>
      </w:r>
      <w:r>
        <w:rPr>
          <w:rFonts w:ascii="Times New Roman" w:hAnsi="Times New Roman"/>
          <w:b w:val="0"/>
          <w:i w:val="0"/>
        </w:rPr>
        <w:t xml:space="preserve"> n=42), </w:t>
      </w:r>
      <w:r>
        <w:rPr>
          <w:rFonts w:ascii="Courier New" w:hAnsi="Courier New"/>
          <w:b w:val="0"/>
          <w:i w:val="0"/>
        </w:rPr>
        <w:t>mars_endotype</w:t>
      </w:r>
      <w:r>
        <w:rPr>
          <w:rFonts w:ascii="Times New Roman" w:hAnsi="Times New Roman"/>
          <w:b w:val="0"/>
          <w:i w:val="0"/>
        </w:rPr>
        <w:t xml:space="preserve"> (Mars1=132, Mars2=176, Mars3=118, Mars4=53, unassigned=323), and </w:t>
      </w:r>
      <w:r>
        <w:rPr>
          <w:rFonts w:ascii="Courier New" w:hAnsi="Courier New"/>
          <w:b w:val="0"/>
          <w:i w:val="0"/>
        </w:rPr>
        <w:t>death_28d</w:t>
      </w:r>
      <w:r>
        <w:rPr>
          <w:rFonts w:ascii="Times New Roman" w:hAnsi="Times New Roman"/>
          <w:b w:val="0"/>
          <w:i w:val="0"/>
        </w:rPr>
        <w:t xml:space="preserve"> (1.0=114, 0.0=365, unassigned=323). Sample alignment between expression and phenotype used the intersection of sample IDs.</w:t>
      </w:r>
    </w:p>
    <w:p>
      <w:pPr>
        <w:spacing w:before="120" w:after="60"/>
      </w:pPr>
      <w:r>
        <w:rPr>
          <w:rFonts w:ascii="Times New Roman" w:hAnsi="Times New Roman"/>
          <w:b/>
          <w:i w:val="0"/>
          <w:sz w:val="22"/>
        </w:rPr>
        <w:t>2.2 Differential expression</w:t>
      </w:r>
    </w:p>
    <w:p>
      <w:pPr>
        <w:spacing w:before="0" w:after="80"/>
      </w:pPr>
      <w:r>
        <w:rPr>
          <w:rFonts w:ascii="Times New Roman" w:hAnsi="Times New Roman"/>
          <w:b w:val="0"/>
          <w:i w:val="0"/>
        </w:rPr>
        <w:t xml:space="preserve">A limma-style empirical-Bayes moderated t-test [9] was implemented in Python: </w:t>
      </w:r>
      <w:r>
        <w:rPr>
          <w:rFonts w:ascii="Courier New" w:hAnsi="Courier New"/>
          <w:b w:val="0"/>
          <w:i w:val="0"/>
        </w:rPr>
        <w:t>β = (XᵀX)⁻¹XᵀY</w:t>
      </w:r>
      <w:r>
        <w:rPr>
          <w:rFonts w:ascii="Times New Roman" w:hAnsi="Times New Roman"/>
          <w:b w:val="0"/>
          <w:i w:val="0"/>
        </w:rPr>
        <w:t xml:space="preserve">; residual variance shrunk toward the global mean via </w:t>
      </w:r>
      <w:r>
        <w:rPr>
          <w:rFonts w:ascii="Courier New" w:hAnsi="Courier New"/>
          <w:b w:val="0"/>
          <w:i w:val="0"/>
        </w:rPr>
        <w:t>prior_df = clip(2m²/v, 1e-2, 1e5)</w:t>
      </w:r>
      <w:r>
        <w:rPr>
          <w:rFonts w:ascii="Times New Roman" w:hAnsi="Times New Roman"/>
          <w:b w:val="0"/>
          <w:i w:val="0"/>
        </w:rPr>
        <w:t xml:space="preserve">; two-sided t with </w:t>
      </w:r>
      <w:r>
        <w:rPr>
          <w:rFonts w:ascii="Courier New" w:hAnsi="Courier New"/>
          <w:b w:val="0"/>
          <w:i w:val="0"/>
        </w:rPr>
        <w:t>df = n−p + prior_df</w:t>
      </w:r>
      <w:r>
        <w:rPr>
          <w:rFonts w:ascii="Times New Roman" w:hAnsi="Times New Roman"/>
          <w:b w:val="0"/>
          <w:i w:val="0"/>
        </w:rPr>
        <w:t>; FDR via Benjamini–Hochberg. DEG thresholds: sepsis-vs-healthy at |logFC|≥0.3 &amp; FDR&lt;0.05; Mars1-vs-Other at |logFC|≥0.3 &amp; FDR&lt;0.05 (effects in this cohort are sub-unit, so the 0.3 cut balances sensitivity; the 1.0 cut is reported for reference).</w:t>
      </w:r>
    </w:p>
    <w:p>
      <w:pPr>
        <w:spacing w:before="120" w:after="60"/>
      </w:pPr>
      <w:r>
        <w:rPr>
          <w:rFonts w:ascii="Times New Roman" w:hAnsi="Times New Roman"/>
          <w:b/>
          <w:i w:val="0"/>
          <w:sz w:val="22"/>
        </w:rPr>
        <w:t>2.3 Immune-function score</w:t>
      </w:r>
    </w:p>
    <w:p>
      <w:pPr>
        <w:spacing w:before="0" w:after="80"/>
      </w:pPr>
      <w:r>
        <w:rPr>
          <w:rFonts w:ascii="Times New Roman" w:hAnsi="Times New Roman"/>
          <w:b w:val="0"/>
          <w:i w:val="0"/>
        </w:rPr>
        <w:t xml:space="preserve">Per-sample z-scored means of HLA-class-II, T-cell and exhaustion gene sets were combined as </w:t>
      </w:r>
      <w:r>
        <w:rPr>
          <w:rFonts w:ascii="Courier New" w:hAnsi="Courier New"/>
          <w:b w:val="0"/>
          <w:i w:val="0"/>
        </w:rPr>
        <w:t>score = z(HLA-II) + z(T-cell) − z(exhaustion)</w:t>
      </w:r>
      <w:r>
        <w:rPr>
          <w:rFonts w:ascii="Times New Roman" w:hAnsi="Times New Roman"/>
          <w:b w:val="0"/>
          <w:i w:val="0"/>
        </w:rPr>
        <w:t>. Mars1 is predicted to show the lowest score.</w:t>
      </w:r>
    </w:p>
    <w:p>
      <w:pPr>
        <w:spacing w:before="120" w:after="60"/>
      </w:pPr>
      <w:r>
        <w:rPr>
          <w:rFonts w:ascii="Times New Roman" w:hAnsi="Times New Roman"/>
          <w:b/>
          <w:i w:val="0"/>
          <w:sz w:val="22"/>
        </w:rPr>
        <w:t>2.4 Co-expression hub</w:t>
      </w:r>
    </w:p>
    <w:p>
      <w:pPr>
        <w:spacing w:before="0" w:after="80"/>
      </w:pPr>
      <w:r>
        <w:rPr>
          <w:rFonts w:ascii="Times New Roman" w:hAnsi="Times New Roman"/>
          <w:b w:val="0"/>
          <w:i w:val="0"/>
        </w:rPr>
        <w:t>Among the 2,000 most significant Mars1-DEGs, a |Pearson r|⁶ adjacency (WGCNA-style co-expression network [10]) yielded degree centrality; the top-50 genes by degree define the co-expression hub.</w:t>
      </w:r>
    </w:p>
    <w:p>
      <w:pPr>
        <w:spacing w:before="120" w:after="60"/>
      </w:pPr>
      <w:r>
        <w:rPr>
          <w:rFonts w:ascii="Times New Roman" w:hAnsi="Times New Roman"/>
          <w:b/>
          <w:i w:val="0"/>
          <w:sz w:val="22"/>
        </w:rPr>
        <w:t>2.5 Machine-learning hub consensus (tri-method)</w:t>
      </w:r>
    </w:p>
    <w:p>
      <w:pPr>
        <w:spacing w:before="0" w:after="80"/>
      </w:pPr>
      <w:r>
        <w:rPr>
          <w:rFonts w:ascii="Times New Roman" w:hAnsi="Times New Roman"/>
          <w:b w:val="0"/>
          <w:i w:val="0"/>
        </w:rPr>
        <w:t>Within the candidate set (Mars1-DEG ∩ consensus immune set, expanded to the top-20 degree-centrality genes when sparse, three independent selectors operated on sepsis patients with known 28-day outcome: L1-penalized logistic regression (LASSO), Random Forest (400 trees) importance &gt; 75th percentile, and univariate t-test (top-40 by P). Genes recovered by all three selectors formed the primary hub; when fewer than five genes passed all three, a frequency-based fallback (genes selected by ≥2 of the three methods) was used.</w:t>
      </w:r>
    </w:p>
    <w:p>
      <w:pPr>
        <w:spacing w:before="120" w:after="60"/>
      </w:pPr>
      <w:r>
        <w:rPr>
          <w:rFonts w:ascii="Times New Roman" w:hAnsi="Times New Roman"/>
          <w:b/>
          <w:i w:val="0"/>
          <w:sz w:val="22"/>
        </w:rPr>
        <w:t>2.6 Prognosis signature and AUC</w:t>
      </w:r>
    </w:p>
    <w:p>
      <w:pPr>
        <w:spacing w:before="0" w:after="80"/>
      </w:pPr>
      <w:r>
        <w:rPr>
          <w:rFonts w:ascii="Times New Roman" w:hAnsi="Times New Roman"/>
          <w:b w:val="0"/>
          <w:i w:val="0"/>
        </w:rPr>
        <w:t xml:space="preserve">A pre-defined immune panel (70 genes) was ranked by |Pearson r| with 28-day death; the top-30, each oriented so expression positively contributes to death risk, formed a continuous immune-risk signature. A L1-logistic model was evaluated by </w:t>
      </w:r>
      <w:r>
        <w:rPr>
          <w:rFonts w:ascii="Times New Roman" w:hAnsi="Times New Roman"/>
          <w:b/>
          <w:i w:val="0"/>
        </w:rPr>
        <w:t>5-fold stratified cross-validated AUC</w:t>
      </w:r>
      <w:r>
        <w:rPr>
          <w:rFonts w:ascii="Times New Roman" w:hAnsi="Times New Roman"/>
          <w:b w:val="0"/>
          <w:i w:val="0"/>
        </w:rPr>
        <w:t xml:space="preserve"> (out-of-fold), benchmarked against the published immune-related-gene (IRG) signature (0.619 reported by Peng et al. [8] on E-MTAB-4451, 0.648 on GSE65682 in that study; we recomputed a 3-gene IRG proxy at 0.529 on E-MTAB-4451 in this study (a weak reference only, because its wide confidence interval overlaps the other benchmarks and the proxy lacks the full IRG gene set) — both values are real and reflect different preprocessing, so cross-cohort comparison is descriptive only).</w:t>
      </w:r>
    </w:p>
    <w:p>
      <w:pPr>
        <w:spacing w:before="120" w:after="60"/>
      </w:pPr>
      <w:r>
        <w:rPr>
          <w:rFonts w:ascii="Times New Roman" w:hAnsi="Times New Roman"/>
          <w:b/>
          <w:i w:val="0"/>
          <w:sz w:val="22"/>
        </w:rPr>
        <w:t>2.7 Cellular localization</w:t>
      </w:r>
    </w:p>
    <w:p>
      <w:pPr>
        <w:spacing w:before="0" w:after="80"/>
      </w:pPr>
      <w:r>
        <w:rPr>
          <w:rFonts w:ascii="Times New Roman" w:hAnsi="Times New Roman"/>
          <w:b w:val="0"/>
          <w:i w:val="0"/>
        </w:rPr>
        <w:t>No single-cell profile was available; hub genes were localized by correlating each gene's bulk expression across the 802 samples with immune-cell marker-module means (CIBERSORT-style [11], [12] / xCell [13] deconvolution surrogate; monocyte, neutrophil, CD4/CD8 T, B, NK, dendritic, plasma). The cell type with the maximal |r| is reported as the dominant context (bulk surrogate, not true single-cell resolution).</w:t>
      </w:r>
    </w:p>
    <w:p>
      <w:pPr>
        <w:spacing w:before="120" w:after="60"/>
      </w:pPr>
      <w:r>
        <w:rPr>
          <w:rFonts w:ascii="Times New Roman" w:hAnsi="Times New Roman"/>
          <w:b/>
          <w:i w:val="0"/>
          <w:sz w:val="22"/>
        </w:rPr>
        <w:t>2.8 Mechanism-anchored drug repositioning</w:t>
      </w:r>
    </w:p>
    <w:p>
      <w:pPr>
        <w:spacing w:before="0" w:after="80"/>
      </w:pPr>
      <w:r>
        <w:rPr>
          <w:rFonts w:ascii="Times New Roman" w:hAnsi="Times New Roman"/>
          <w:b w:val="0"/>
          <w:i w:val="0"/>
        </w:rPr>
        <w:t xml:space="preserve">The Mars1-down gene set defines the immunosuppressed axis. Candidates were prioritized by a </w:t>
      </w:r>
      <w:r>
        <w:rPr>
          <w:rFonts w:ascii="Times New Roman" w:hAnsi="Times New Roman"/>
          <w:b/>
          <w:i w:val="0"/>
        </w:rPr>
        <w:t>mechanism-anchored, literature-curated concordance</w:t>
      </w:r>
      <w:r>
        <w:rPr>
          <w:rFonts w:ascii="Times New Roman" w:hAnsi="Times New Roman"/>
          <w:b w:val="0"/>
          <w:i w:val="0"/>
        </w:rPr>
        <w:t xml:space="preserve"> rather than by direct pharmacologic-target overlap: for each agent we enumerated the immune-response genes it is reported to up-regulate or activate, then computed </w:t>
      </w:r>
      <w:r>
        <w:rPr>
          <w:rFonts w:ascii="Courier New" w:hAnsi="Courier New"/>
          <w:b w:val="0"/>
          <w:i w:val="0"/>
        </w:rPr>
        <w:t>response_gene_concordance = |curated response genes ∩ Mars1-down| / |curated response genes|</w:t>
      </w:r>
      <w:r>
        <w:rPr>
          <w:rFonts w:ascii="Times New Roman" w:hAnsi="Times New Roman"/>
          <w:b w:val="0"/>
          <w:i w:val="0"/>
        </w:rPr>
        <w:t xml:space="preserve">, where "Mars1-down" uses the same DEG rule as §2.2 (|logFC|≥0.3 &amp; FDR&lt;0.05) so the metric is internally consistent with the rest of the analysis. This metric therefore quantifies concordance with a curated </w:t>
      </w:r>
      <w:r>
        <w:rPr>
          <w:rFonts w:ascii="Times New Roman" w:hAnsi="Times New Roman"/>
          <w:b/>
          <w:i w:val="0"/>
        </w:rPr>
        <w:t>downstream response-gene set</w:t>
      </w:r>
      <w:r>
        <w:rPr>
          <w:rFonts w:ascii="Times New Roman" w:hAnsi="Times New Roman"/>
          <w:b w:val="0"/>
          <w:i w:val="0"/>
        </w:rPr>
        <w:t xml:space="preserve">, and is </w:t>
      </w:r>
      <w:r>
        <w:rPr>
          <w:rFonts w:ascii="Times New Roman" w:hAnsi="Times New Roman"/>
          <w:b w:val="0"/>
          <w:i/>
        </w:rPr>
        <w:t>not</w:t>
      </w:r>
      <w:r>
        <w:rPr>
          <w:rFonts w:ascii="Times New Roman" w:hAnsi="Times New Roman"/>
          <w:b w:val="0"/>
          <w:i w:val="0"/>
        </w:rPr>
        <w:t xml:space="preserve"> an overlap with the drug's direct molecular targets (which were not retrieved from a pharmacologic database in this study; see §5). A method-positive gate required IFN-γ — a canonical MHC-II inducer whose curated response set includes the antigen-presentation genes — to show ≥3/5 concordance, and a directionality check confirmed five of the six hub genes are themselves Mars1-down (FIS1 is Mars1-up, logFC +1.26, and is reported as a co-expression marker, per §3.3). Both are consistency/sanity checks on the curated priors, not independent perturbation controls (see §3.3, §5). Because the curated response sets are small (n = 3–7 genes) and no permutation null was computed, the concordance fractions are descriptive and cannot be separated from chance overlap with the large Mars1-down set; the metric therefore ranks hypotheses rather than establishing significance. L1000 reverse-connectivity was subsequently computed on this axis and is reported in §3.9.</w:t>
      </w:r>
    </w:p>
    <w:p>
      <w:pPr>
        <w:spacing w:before="120" w:after="60"/>
      </w:pPr>
      <w:r>
        <w:rPr>
          <w:rFonts w:ascii="Times New Roman" w:hAnsi="Times New Roman"/>
          <w:b/>
          <w:i w:val="0"/>
          <w:sz w:val="22"/>
        </w:rPr>
        <w:t>2.9 External, independent validation cohort</w:t>
      </w:r>
    </w:p>
    <w:p>
      <w:pPr>
        <w:spacing w:before="0" w:after="80"/>
      </w:pPr>
      <w:r>
        <w:rPr>
          <w:rFonts w:ascii="Times New Roman" w:hAnsi="Times New Roman"/>
          <w:b w:val="0"/>
          <w:i w:val="0"/>
        </w:rPr>
        <w:t>E-MTAB-4451 (ArrayExpress [14]; Davenport et al. cohort [15]) was retrieved as the processed, normalized matrix (</w:t>
      </w:r>
      <w:r>
        <w:rPr>
          <w:rFonts w:ascii="Courier New" w:hAnsi="Courier New"/>
          <w:b w:val="0"/>
          <w:i w:val="0"/>
        </w:rPr>
        <w:t>Davenport_sepsis_Feb2016_normalised_106.txt</w:t>
      </w:r>
      <w:r>
        <w:rPr>
          <w:rFonts w:ascii="Times New Roman" w:hAnsi="Times New Roman"/>
          <w:b w:val="0"/>
          <w:i w:val="0"/>
        </w:rPr>
        <w:t xml:space="preserve">; platform </w:t>
      </w:r>
      <w:r>
        <w:rPr>
          <w:rFonts w:ascii="Times New Roman" w:hAnsi="Times New Roman"/>
          <w:b/>
          <w:i w:val="0"/>
        </w:rPr>
        <w:t>GPL10558</w:t>
      </w:r>
      <w:r>
        <w:rPr>
          <w:rFonts w:ascii="Times New Roman" w:hAnsi="Times New Roman"/>
          <w:b w:val="0"/>
          <w:i w:val="0"/>
        </w:rPr>
        <w:t>, Illumina HumanHT-12 V4.0 expression beadchip). It comprises 106 adult patients with severe sepsis due to community-acquired pneumonia enrolled in UK ICUs, with 28-day survival recorded in the SDRF (</w:t>
      </w:r>
      <w:r>
        <w:rPr>
          <w:rFonts w:ascii="Courier New" w:hAnsi="Courier New"/>
          <w:b w:val="0"/>
          <w:i w:val="0"/>
        </w:rPr>
        <w:t>Characteristics[28 day survival]</w:t>
      </w:r>
      <w:r>
        <w:rPr>
          <w:rFonts w:ascii="Times New Roman" w:hAnsi="Times New Roman"/>
          <w:b w:val="0"/>
          <w:i w:val="0"/>
        </w:rPr>
        <w:t xml:space="preserve">: 52 non-survivors / 54 survivors among the 106 profiled samples). Probe→gene mapping used the GEO GPL10558 annotation (Entrez Gene symbol; mean expression across probes per gene). The signature model was </w:t>
      </w:r>
      <w:r>
        <w:rPr>
          <w:rFonts w:ascii="Times New Roman" w:hAnsi="Times New Roman"/>
          <w:b/>
          <w:i w:val="0"/>
        </w:rPr>
        <w:t>locked</w:t>
      </w:r>
      <w:r>
        <w:rPr>
          <w:rFonts w:ascii="Times New Roman" w:hAnsi="Times New Roman"/>
          <w:b w:val="0"/>
          <w:i w:val="0"/>
        </w:rPr>
        <w:t xml:space="preserve"> on GSE65682 (gene set + fixed orientation by training-sign correlation with death + training StandardScaler + L1 coefficients) and applied to E-MTAB-4451 without any re-tuning. A fixed-orientation equal-weight score was reported as the primary external metric, with AUC 95% CI from 2,000-sample bootstrap. A locked-L1-weight application was added as a sensitivity analysis. The equal-weight oriented sum was declared the primary external metric before the external AUC was computed, because it carries no cohort-specific weights and is therefore the portable component by construction; the locked-L1 result is reported alongside it as the like-for-like comparison to the within-cohort cross-validated AUC. All 95% confidence intervals in this section are from 2,000-sample bootstrap, and two-sided tests were used throughout.</w:t>
      </w:r>
    </w:p>
    <w:p>
      <w:pPr>
        <w:spacing w:before="120" w:after="60"/>
      </w:pPr>
      <w:r>
        <w:rPr>
          <w:rFonts w:ascii="Times New Roman" w:hAnsi="Times New Roman"/>
          <w:b/>
          <w:i w:val="0"/>
          <w:sz w:val="22"/>
        </w:rPr>
        <w:t>2.10 Genetic validation by two-sample Mendelian randomisation (S10, Tier-3)</w:t>
      </w:r>
    </w:p>
    <w:p>
      <w:pPr>
        <w:spacing w:before="0" w:after="80"/>
      </w:pPr>
      <w:r>
        <w:rPr>
          <w:rFonts w:ascii="Times New Roman" w:hAnsi="Times New Roman"/>
          <w:b w:val="0"/>
          <w:i w:val="0"/>
        </w:rPr>
        <w:t xml:space="preserve">A two-sample MR framework was pre-specified and then executed to test whether germline variation in the six candidate genes (five immune hubs and FIS1) causally influences sepsis susceptibility. Exposure was the eQTLGen whole-blood cis-eQTL for each hub gene, accessed as IEU OpenGWAS records (MR-Base [16]) </w:t>
      </w:r>
      <w:r>
        <w:rPr>
          <w:rFonts w:ascii="Courier New" w:hAnsi="Courier New"/>
          <w:b w:val="0"/>
          <w:i w:val="0"/>
        </w:rPr>
        <w:t>eqtl-a-ENSG00000019582</w:t>
      </w:r>
      <w:r>
        <w:rPr>
          <w:rFonts w:ascii="Times New Roman" w:hAnsi="Times New Roman"/>
          <w:b w:val="0"/>
          <w:i w:val="0"/>
        </w:rPr>
        <w:t xml:space="preserve"> (CD74), </w:t>
      </w:r>
      <w:r>
        <w:rPr>
          <w:rFonts w:ascii="Courier New" w:hAnsi="Courier New"/>
          <w:b w:val="0"/>
          <w:i w:val="0"/>
        </w:rPr>
        <w:t>eqtl-a-ENSG00000196735</w:t>
      </w:r>
      <w:r>
        <w:rPr>
          <w:rFonts w:ascii="Times New Roman" w:hAnsi="Times New Roman"/>
          <w:b w:val="0"/>
          <w:i w:val="0"/>
        </w:rPr>
        <w:t xml:space="preserve"> (HLA-DQA1), </w:t>
      </w:r>
      <w:r>
        <w:rPr>
          <w:rFonts w:ascii="Courier New" w:hAnsi="Courier New"/>
          <w:b w:val="0"/>
          <w:i w:val="0"/>
        </w:rPr>
        <w:t>eqtl-a-ENSG00000170458</w:t>
      </w:r>
      <w:r>
        <w:rPr>
          <w:rFonts w:ascii="Times New Roman" w:hAnsi="Times New Roman"/>
          <w:b w:val="0"/>
          <w:i w:val="0"/>
        </w:rPr>
        <w:t xml:space="preserve"> (CD14), </w:t>
      </w:r>
      <w:r>
        <w:rPr>
          <w:rFonts w:ascii="Courier New" w:hAnsi="Courier New"/>
          <w:b w:val="0"/>
          <w:i w:val="0"/>
        </w:rPr>
        <w:t>eqtl-a-ENSG00000203747</w:t>
      </w:r>
      <w:r>
        <w:rPr>
          <w:rFonts w:ascii="Times New Roman" w:hAnsi="Times New Roman"/>
          <w:b w:val="0"/>
          <w:i w:val="0"/>
        </w:rPr>
        <w:t xml:space="preserve"> (FCGR3A), </w:t>
      </w:r>
      <w:r>
        <w:rPr>
          <w:rFonts w:ascii="Courier New" w:hAnsi="Courier New"/>
          <w:b w:val="0"/>
          <w:i w:val="0"/>
        </w:rPr>
        <w:t>eqtl-a-ENSG00000135077</w:t>
      </w:r>
      <w:r>
        <w:rPr>
          <w:rFonts w:ascii="Times New Roman" w:hAnsi="Times New Roman"/>
          <w:b w:val="0"/>
          <w:i w:val="0"/>
        </w:rPr>
        <w:t xml:space="preserve"> (HAVCR2) and </w:t>
      </w:r>
      <w:r>
        <w:rPr>
          <w:rFonts w:ascii="Courier New" w:hAnsi="Courier New"/>
          <w:b w:val="0"/>
          <w:i w:val="0"/>
        </w:rPr>
        <w:t>eqtl-a-ENSG00000214253</w:t>
      </w:r>
      <w:r>
        <w:rPr>
          <w:rFonts w:ascii="Times New Roman" w:hAnsi="Times New Roman"/>
          <w:b w:val="0"/>
          <w:i w:val="0"/>
        </w:rPr>
        <w:t xml:space="preserve"> (FIS1); all are GRCh37/hg19 with per-gene </w:t>
      </w:r>
      <w:r>
        <w:rPr>
          <w:rFonts w:ascii="Times New Roman" w:hAnsi="Times New Roman"/>
          <w:b w:val="0"/>
          <w:i/>
        </w:rPr>
        <w:t>n</w:t>
      </w:r>
      <w:r>
        <w:rPr>
          <w:rFonts w:ascii="Times New Roman" w:hAnsi="Times New Roman"/>
          <w:b w:val="0"/>
          <w:i w:val="0"/>
        </w:rPr>
        <w:t xml:space="preserve"> of 13,344–31,684. Outcomes were UK Biobank sepsis GWAS, selected to match the phenotype studied here. The eQTLGen discovery sample (31,684 donors, which includes UK Biobank participants) and the UK Biobank sepsis outcomes therefore share participants, producing exposure–outcome sample overlap. We did not apply a sample-overlap correction (e.g., the mrSampleOverlap bias estimator of Burgess, Davies &amp; Thompson [17]); the estimates are consequently interpreted only as hypothesis-generating, and the overlap is flagged as a limitation in §5. The primary outcome was sepsis with death within 28 days (</w:t>
      </w:r>
      <w:r>
        <w:rPr>
          <w:rFonts w:ascii="Courier New" w:hAnsi="Courier New"/>
          <w:b w:val="0"/>
          <w:i w:val="0"/>
        </w:rPr>
        <w:t>ieu-b-5086</w:t>
      </w:r>
      <w:r>
        <w:rPr>
          <w:rFonts w:ascii="Times New Roman" w:hAnsi="Times New Roman"/>
          <w:b w:val="0"/>
          <w:i w:val="0"/>
        </w:rPr>
        <w:t>; 1,896 cases / 484,588 controls), because both the signature (§3.4) and its external validation (§3.5) predict 28-day mortality. Sepsis susceptibility (</w:t>
      </w:r>
      <w:r>
        <w:rPr>
          <w:rFonts w:ascii="Courier New" w:hAnsi="Courier New"/>
          <w:b w:val="0"/>
          <w:i w:val="0"/>
        </w:rPr>
        <w:t>ieu-b-4980</w:t>
      </w:r>
      <w:r>
        <w:rPr>
          <w:rFonts w:ascii="Times New Roman" w:hAnsi="Times New Roman"/>
          <w:b w:val="0"/>
          <w:i w:val="0"/>
        </w:rPr>
        <w:t>; 11,643 / 474,841) and sepsis requiring critical care (</w:t>
      </w:r>
      <w:r>
        <w:rPr>
          <w:rFonts w:ascii="Courier New" w:hAnsi="Courier New"/>
          <w:b w:val="0"/>
          <w:i w:val="0"/>
        </w:rPr>
        <w:t>ieu-b-4982</w:t>
      </w:r>
      <w:r>
        <w:rPr>
          <w:rFonts w:ascii="Times New Roman" w:hAnsi="Times New Roman"/>
          <w:b w:val="0"/>
          <w:i w:val="0"/>
        </w:rPr>
        <w:t>; 1,380 / 429,985) were run as pre-specified secondary and sensitivity outcomes. All are GRCh37/hg19 with ≈12.24 M SNPs. Because exposure and outcome share a reference build, no liftover was required. All Mendelian-randomisation P-values are two-sided and computed on t-distributions — inverse-variance weighting and the weighted median on df = n_instruments − 1, MR-Egger slope and intercept on df = n_instruments − 2 — because the normal approximation is anti-conservative with 3–8 instruments; a result is reported as 'protective-concordant' for a Mars1-down gene only when all three point estimates are below 1.0, and this rule is sensitive near the null and stated for transparency only.</w:t>
      </w:r>
    </w:p>
    <w:p>
      <w:pPr>
        <w:spacing w:before="0" w:after="80"/>
      </w:pPr>
      <w:r>
        <w:rPr>
          <w:rFonts w:ascii="Times New Roman" w:hAnsi="Times New Roman"/>
          <w:b w:val="0"/>
          <w:i w:val="0"/>
        </w:rPr>
        <w:t xml:space="preserve">Instruments were drawn at </w:t>
      </w:r>
      <w:r>
        <w:rPr>
          <w:rFonts w:ascii="Times New Roman" w:hAnsi="Times New Roman"/>
          <w:b w:val="0"/>
          <w:i/>
        </w:rPr>
        <w:t>P</w:t>
      </w:r>
      <w:r>
        <w:rPr>
          <w:rFonts w:ascii="Times New Roman" w:hAnsi="Times New Roman"/>
          <w:b w:val="0"/>
          <w:i w:val="0"/>
        </w:rPr>
        <w:t>&lt;5×10⁻⁸ with MAF&gt;0.01 and LD clumping at r²&lt;0.01 (</w:t>
      </w:r>
      <w:r>
        <w:rPr>
          <w:rFonts w:ascii="Courier New" w:hAnsi="Courier New"/>
          <w:b w:val="0"/>
          <w:i w:val="0"/>
        </w:rPr>
        <w:t>POST /tophits</w:t>
      </w:r>
      <w:r>
        <w:rPr>
          <w:rFonts w:ascii="Times New Roman" w:hAnsi="Times New Roman"/>
          <w:b w:val="0"/>
          <w:i w:val="0"/>
        </w:rPr>
        <w:t>), then extracted from the outcome by rsid (</w:t>
      </w:r>
      <w:r>
        <w:rPr>
          <w:rFonts w:ascii="Courier New" w:hAnsi="Courier New"/>
          <w:b w:val="0"/>
          <w:i w:val="0"/>
        </w:rPr>
        <w:t>POST /associations</w:t>
      </w:r>
      <w:r>
        <w:rPr>
          <w:rFonts w:ascii="Times New Roman" w:hAnsi="Times New Roman"/>
          <w:b w:val="0"/>
          <w:i w:val="0"/>
        </w:rPr>
        <w:t xml:space="preserve">). Alleles were harmonised against the exposure effect allele: concordant SNPs retained, allele-inverted SNPs flipped in sign, and palindromic SNPs resolved by allele frequency and dropped when strand could not be determined. Per-gene retained instruments after harmonisation (effect allele, effect size and </w:t>
      </w:r>
      <w:r>
        <w:rPr>
          <w:rFonts w:ascii="Times New Roman" w:hAnsi="Times New Roman"/>
          <w:b w:val="0"/>
          <w:i/>
        </w:rPr>
        <w:t>F</w:t>
      </w:r>
      <w:r>
        <w:rPr>
          <w:rFonts w:ascii="Times New Roman" w:hAnsi="Times New Roman"/>
          <w:b w:val="0"/>
          <w:i w:val="0"/>
        </w:rPr>
        <w:t xml:space="preserve">-statistic for each SNP) are provided in the accompanying </w:t>
      </w:r>
      <w:r>
        <w:rPr>
          <w:rFonts w:ascii="Courier New" w:hAnsi="Courier New"/>
          <w:b w:val="0"/>
          <w:i w:val="0"/>
        </w:rPr>
        <w:t>*_harmonised.csv</w:t>
      </w:r>
      <w:r>
        <w:rPr>
          <w:rFonts w:ascii="Times New Roman" w:hAnsi="Times New Roman"/>
          <w:b w:val="0"/>
          <w:i w:val="0"/>
        </w:rPr>
        <w:t xml:space="preserve"> tables (STROBE-MR item 9b). Palindromic, strand-ambiguous and allele-incompatible SNPs were dropped during harmonisation per TwoSampleMR defaults. Across the six candidate genes (five immune hubs and FIS1), 27 instruments were retained after harmonisation (CD74 3, HLA-DQA1 4, CD14 6, HAVCR2 6, FIS1 8; FCGR3A excluded for insufficient instruments); the retained-instrument details above constitute the STROBE-MR item 9b disclosure, and the full per-SNP drop-list is reproducible from the accompanying harmonisation script and deposited code (TwoSampleMR defaults: palindromic, strand-ambiguous and allele-incompatible SNPs dropped during harmonisation), so it is transparent in the repository rather than available only on request. A completed STROBE-MR checklist mapping every item to this manuscript is provided as Supplementary Table S12 (</w:t>
      </w:r>
      <w:r>
        <w:rPr>
          <w:rFonts w:ascii="Courier New" w:hAnsi="Courier New"/>
          <w:b w:val="0"/>
          <w:i w:val="0"/>
        </w:rPr>
        <w:t>03_results/12_strobe_mr_checklist.csv</w:t>
      </w:r>
      <w:r>
        <w:rPr>
          <w:rFonts w:ascii="Times New Roman" w:hAnsi="Times New Roman"/>
          <w:b w:val="0"/>
          <w:i w:val="0"/>
        </w:rPr>
        <w:t xml:space="preserve">). The per-gene variant-selection flow was: SNPs identified at </w:t>
      </w:r>
      <w:r>
        <w:rPr>
          <w:rFonts w:ascii="Times New Roman" w:hAnsi="Times New Roman"/>
          <w:b w:val="0"/>
          <w:i/>
        </w:rPr>
        <w:t>P</w:t>
      </w:r>
      <w:r>
        <w:rPr>
          <w:rFonts w:ascii="Times New Roman" w:hAnsi="Times New Roman"/>
          <w:b w:val="0"/>
          <w:i w:val="0"/>
        </w:rPr>
        <w:t xml:space="preserve">&lt;5×10⁻⁸ and MAF&gt;0.01 → LD-clumped at </w:t>
      </w:r>
      <w:r>
        <w:rPr>
          <w:rFonts w:ascii="Times New Roman" w:hAnsi="Times New Roman"/>
          <w:b w:val="0"/>
          <w:i/>
        </w:rPr>
        <w:t>r</w:t>
      </w:r>
      <w:r>
        <w:rPr>
          <w:rFonts w:ascii="Times New Roman" w:hAnsi="Times New Roman"/>
          <w:b w:val="0"/>
          <w:i w:val="0"/>
        </w:rPr>
        <w:t xml:space="preserve">²&lt;0.01 → allele-harmonised against the exposure → analysed; the 27 retained instruments (CD74 3, HLA-DQA1 4, CD14 6, HAVCR2 6, FIS1 8; FCGR3A excluded) are reported above, and the full per-SNP drop-list at each stage is reproducible from the deposited TwoSampleMR harmonisation script, so the flow is transparent in the repository even though the intermediate counts are not tabulated inline. We did not perform a Steiger directionality test to confirm that the eQTL exposure drives rather than is driven by the sepsis outcome; given that the exposure is whole-blood baseline expression and the outcome is acute sepsis, reverse causation is biologically unlikely but not formally excluded. All per-gene median instrument F statistics (35–168) exceed the conventional F&gt;10 rule, but with 1,896 primary-outcome cases and only 3–8 instruments per gene the MR was underpowered: the minimum detectable OR at 80% power (two-sided α=0.05), computed from each gene's retained-instrument R² and the UK Biobank case/control counts, ranged from ≈1.16 (FIS1, 8 instruments) to ≈2.12 (CD74, 3 instruments), so a null for the weakly-instrumented genes is not informative; this underpins the null-interpretation caveat. Three estimators were used: inverse-variance weighted (IVW; primary, fixed-effects with a switch to multiplicative random effects when Cochran Q exceeded its df), MR-Egger [18] (with an intercept test for directional pleiotropy; p-values are two-sided t-tests on df = n_instruments − 2), and the weighted median (SE by 2,000 bootstrap resamples). Heterogeneity was assessed by Cochran Q and I² [19], and instrument strength by the per-SNP </w:t>
      </w:r>
      <w:r>
        <w:rPr>
          <w:rFonts w:ascii="Times New Roman" w:hAnsi="Times New Roman"/>
          <w:b w:val="0"/>
          <w:i/>
        </w:rPr>
        <w:t>F</w:t>
      </w:r>
      <w:r>
        <w:rPr>
          <w:rFonts w:ascii="Times New Roman" w:hAnsi="Times New Roman"/>
          <w:b w:val="0"/>
          <w:i w:val="0"/>
        </w:rPr>
        <w:t xml:space="preserve"> statistic. A minimum of three instruments was required for a gene to be assessed. Benjamini–Hochberg FDR was applied within each outcome across the 15 gene×estimator tests (the </w:t>
      </w:r>
      <w:r>
        <w:rPr>
          <w:rFonts w:ascii="Courier New" w:hAnsi="Courier New"/>
          <w:b w:val="0"/>
          <w:i w:val="0"/>
        </w:rPr>
        <w:t>p_fdr_bh</w:t>
      </w:r>
      <w:r>
        <w:rPr>
          <w:rFonts w:ascii="Times New Roman" w:hAnsi="Times New Roman"/>
          <w:b w:val="0"/>
          <w:i w:val="0"/>
        </w:rPr>
        <w:t xml:space="preserve"> column of each MR CSV); the pre-specified primary family correction was 15 tests (five assessable genes × three outcomes), with inverse-variance weighting as the single primary estimator per gene–outcome pair and MR-Egger and the weighted median treated as sensitivity analyses not counted in the family. The 45-test correction that additionally counts the two sensitivity estimators as separate hypotheses is reported in </w:t>
      </w:r>
      <w:r>
        <w:rPr>
          <w:rFonts w:ascii="Courier New" w:hAnsi="Courier New"/>
          <w:b w:val="0"/>
          <w:i w:val="0"/>
        </w:rPr>
        <w:t>10_mr_bh_family.csv</w:t>
      </w:r>
      <w:r>
        <w:rPr>
          <w:rFonts w:ascii="Times New Roman" w:hAnsi="Times New Roman"/>
          <w:b w:val="0"/>
          <w:i w:val="0"/>
        </w:rPr>
        <w:t xml:space="preserve"> for completeness as a dependence-ignoring approximation. The MR-Egger p-values were computed with a two-sided t-test on df = n_instruments − 2 (not the normal distribution); under this correction </w:t>
      </w:r>
      <w:r>
        <w:rPr>
          <w:rFonts w:ascii="Times New Roman" w:hAnsi="Times New Roman"/>
          <w:b/>
          <w:i w:val="0"/>
        </w:rPr>
        <w:t>no CD74 MR-Egger test reaches significance</w:t>
      </w:r>
      <w:r>
        <w:rPr>
          <w:rFonts w:ascii="Times New Roman" w:hAnsi="Times New Roman"/>
          <w:b w:val="0"/>
          <w:i w:val="0"/>
        </w:rPr>
        <w:t xml:space="preserve"> (critical-care p = 0.088, family q = 0.79; susceptibility p = 0.165, family q = 0.90), and the CD14 28-day-death MR-Egger (p = 4.9×10⁻², family q = 0.73) does not cross 0.05. Under both the 15-test and 45-test correction schemes no test retains family q &lt; 0.05 after the MR-Egger p-values are corrected to the t-distribution: the minimum q under the pre-specified 15-test primary family is 0.81, and under the 45-test dependence-ignoring approximation the lowest q is 0.79 (the CD74 critical-care weighted median, whose bootstrap standard error from three instruments is degenerate, so no P-value is reported for it); the CD74 critical-care estimate points in the direction opposite to the Mars1 expression model (higher genetically predicted CD74 predicts worse critical-care outcome), and it is reported as a genotype–severity association rather than a causal hub claim (see §3.10). All requests were authenticated with an OpenGWAS JWT; because the server's TLS certificate had lapsed, certificate verification was disabled in-process and each call was retried up to 12 times with linear backoff. Pipeline: </w:t>
      </w:r>
      <w:r>
        <w:rPr>
          <w:rFonts w:ascii="Courier New" w:hAnsi="Courier New"/>
          <w:b w:val="0"/>
          <w:i w:val="0"/>
        </w:rPr>
        <w:t>02_scripts/python/10_genetics_mr_run.py</w:t>
      </w:r>
      <w:r>
        <w:rPr>
          <w:rFonts w:ascii="Times New Roman" w:hAnsi="Times New Roman"/>
          <w:b w:val="0"/>
          <w:i w:val="0"/>
        </w:rPr>
        <w:t xml:space="preserve">; full readout: </w:t>
      </w:r>
      <w:r>
        <w:rPr>
          <w:rFonts w:ascii="Courier New" w:hAnsi="Courier New"/>
          <w:b w:val="0"/>
          <w:i w:val="0"/>
        </w:rPr>
        <w:t>03_results/10_genetics_mr_outcome5086_28ddeath.csv</w:t>
      </w:r>
      <w:r>
        <w:rPr>
          <w:rFonts w:ascii="Times New Roman" w:hAnsi="Times New Roman"/>
          <w:b w:val="0"/>
          <w:i w:val="0"/>
        </w:rPr>
        <w:t xml:space="preserve"> (primary), </w:t>
      </w:r>
      <w:r>
        <w:rPr>
          <w:rFonts w:ascii="Courier New" w:hAnsi="Courier New"/>
          <w:b w:val="0"/>
          <w:i w:val="0"/>
        </w:rPr>
        <w:t>03_results/10_genetics_mr.csv</w:t>
      </w:r>
      <w:r>
        <w:rPr>
          <w:rFonts w:ascii="Times New Roman" w:hAnsi="Times New Roman"/>
          <w:b w:val="0"/>
          <w:i w:val="0"/>
        </w:rPr>
        <w:t xml:space="preserve"> (susceptibility), </w:t>
      </w:r>
      <w:r>
        <w:rPr>
          <w:rFonts w:ascii="Courier New" w:hAnsi="Courier New"/>
          <w:b w:val="0"/>
          <w:i w:val="0"/>
        </w:rPr>
        <w:t>03_results/10_genetics_mr_outcome4982_criticalcare.csv</w:t>
      </w:r>
      <w:r>
        <w:rPr>
          <w:rFonts w:ascii="Times New Roman" w:hAnsi="Times New Roman"/>
          <w:b w:val="0"/>
          <w:i w:val="0"/>
        </w:rPr>
        <w:t xml:space="preserve"> (critical care), the matching </w:t>
      </w:r>
      <w:r>
        <w:rPr>
          <w:rFonts w:ascii="Courier New" w:hAnsi="Courier New"/>
          <w:b w:val="0"/>
          <w:i w:val="0"/>
        </w:rPr>
        <w:t>*_harmonised.csv</w:t>
      </w:r>
      <w:r>
        <w:rPr>
          <w:rFonts w:ascii="Times New Roman" w:hAnsi="Times New Roman"/>
          <w:b w:val="0"/>
          <w:i w:val="0"/>
        </w:rPr>
        <w:t xml:space="preserve"> instrument tables, and </w:t>
      </w:r>
      <w:r>
        <w:rPr>
          <w:rFonts w:ascii="Courier New" w:hAnsi="Courier New"/>
          <w:b w:val="0"/>
          <w:i w:val="0"/>
        </w:rPr>
        <w:t>05_reports/s10_run_log*.txt</w:t>
      </w:r>
      <w:r>
        <w:rPr>
          <w:rFonts w:ascii="Times New Roman" w:hAnsi="Times New Roman"/>
          <w:b w:val="0"/>
          <w:i w:val="0"/>
        </w:rPr>
        <w:t>.</w:t>
      </w:r>
    </w:p>
    <w:p>
      <w:pPr>
        <w:spacing w:before="120" w:after="60"/>
      </w:pPr>
      <w:r>
        <w:rPr>
          <w:rFonts w:ascii="Times New Roman" w:hAnsi="Times New Roman"/>
          <w:b/>
          <w:i w:val="0"/>
          <w:sz w:val="22"/>
        </w:rPr>
        <w:t>2.11 Experimental validation blueprint (S11)</w:t>
      </w:r>
    </w:p>
    <w:p>
      <w:pPr>
        <w:spacing w:before="0" w:after="80"/>
      </w:pPr>
      <w:r>
        <w:rPr>
          <w:rFonts w:ascii="Times New Roman" w:hAnsi="Times New Roman"/>
          <w:b w:val="0"/>
          <w:i w:val="0"/>
        </w:rPr>
        <w:t>A companion protocol (</w:t>
      </w:r>
      <w:r>
        <w:rPr>
          <w:rFonts w:ascii="Courier New" w:hAnsi="Courier New"/>
          <w:b w:val="0"/>
          <w:i w:val="0"/>
        </w:rPr>
        <w:t>03_results/11_validation_design.md</w:t>
      </w:r>
      <w:r>
        <w:rPr>
          <w:rFonts w:ascii="Times New Roman" w:hAnsi="Times New Roman"/>
          <w:b w:val="0"/>
          <w:i w:val="0"/>
        </w:rPr>
        <w:t>) specifies LPS-tolerance and sepsis-patient primary-cell assays to test whether the prioritized agents restore antigen presentation (CD14+HLA-DR MFI) and the 30-gene signature, closing the in-silico→functional loop. Not executed here.</w:t>
      </w:r>
    </w:p>
    <w:p>
      <w:pPr>
        <w:spacing w:before="120" w:after="60"/>
      </w:pPr>
      <w:r>
        <w:rPr>
          <w:rFonts w:ascii="Times New Roman" w:hAnsi="Times New Roman"/>
          <w:b/>
          <w:i w:val="0"/>
          <w:sz w:val="22"/>
        </w:rPr>
        <w:t>2.12 Use of generative AI</w:t>
      </w:r>
    </w:p>
    <w:p>
      <w:pPr>
        <w:spacing w:before="0" w:after="80"/>
      </w:pPr>
      <w:r>
        <w:rPr>
          <w:rFonts w:ascii="Times New Roman" w:hAnsi="Times New Roman"/>
          <w:b w:val="0"/>
          <w:i w:val="0"/>
        </w:rPr>
        <w:t>Large language model (LLM) assistants accessed through a desktop AI-agent environment (WorkBuddy, which routes each request to one of several commercial large language models; the specific underlying model identities are not individually logged and are treated as fungible writing/analysis assistants) were used during manuscript preparation for: (i) drafting and revising the text of the Abstract, Introduction, Methods, Results, Discussion, Limitations, Conclusion and the figure/table captions, including language, clarity and style; (ii) assembling and formatting the tables, whose values are direct reads of the analysis outputs; (iii) writing the plotting and analysis code archived with the manuscript, which renders figures directly from the analysis outputs (no image-generation model was used and no image was altered in a way that changes the data); (iv) assisting with retrieval of references and checking their bibliographic records against PubMed and the publisher record, any candidate that did not resolve to a real record being discarded, with all cited references verified by identifier; and (v) conducting internal adversarial review of draft versions. No reported data were created, generated, imputed or altered by generative AI; all data are pre-existing public deposits and every number traces to a deposited source file (§7). No AI tool is listed as an author or contributor. All AI-assisted output was reviewed, edited and, where necessary, rewritten by the author, who takes full responsibility for the content of the manuscript.</w:t>
      </w:r>
    </w:p>
    <w:p>
      <w:pPr>
        <w:spacing w:before="160" w:after="80"/>
      </w:pPr>
      <w:r>
        <w:rPr>
          <w:rFonts w:ascii="Times New Roman" w:hAnsi="Times New Roman"/>
          <w:b/>
          <w:i w:val="0"/>
          <w:sz w:val="25"/>
        </w:rPr>
        <w:t>3. Results</w:t>
      </w:r>
    </w:p>
    <w:p>
      <w:pPr>
        <w:spacing w:before="120" w:after="60"/>
      </w:pPr>
      <w:r>
        <w:rPr>
          <w:rFonts w:ascii="Times New Roman" w:hAnsi="Times New Roman"/>
          <w:b/>
          <w:i w:val="0"/>
          <w:sz w:val="22"/>
        </w:rPr>
        <w:t>3.1 Mars1 carries a coherent immunosuppressed transcriptome</w:t>
      </w:r>
    </w:p>
    <w:p>
      <w:pPr>
        <w:spacing w:before="0" w:after="80"/>
      </w:pPr>
      <w:r>
        <w:rPr>
          <w:rFonts w:ascii="Times New Roman" w:hAnsi="Times New Roman"/>
          <w:b w:val="0"/>
          <w:i w:val="0"/>
        </w:rPr>
        <w:t xml:space="preserve">Mars1 was contrasted against every remaining sample in GSE65682 that is not Mars1 (n = 670), so the reference group necessarily comprises 347 Mars2/3/4 patients, 281 septic patients with no assigned endotype and the 42 healthy gastrointestinal-surgery controls; the contrast is therefore described throughout as 'Mars1 vs Other', not 'vs all other endotypes'. Because this reference group contains non-septic subjects, a sensitivity contrast restricted to the other three assigned endotypes (n = 347) was also computed (Supplementary Table S01b). Of 25 consensus immune genes, </w:t>
      </w:r>
      <w:r>
        <w:rPr>
          <w:rFonts w:ascii="Times New Roman" w:hAnsi="Times New Roman"/>
          <w:b/>
          <w:i w:val="0"/>
        </w:rPr>
        <w:t>23 were directionally down-regulated (Mars1_down) and 22 reached FDR&lt;0.05 significance (this broader count includes the up-regulated exhaustion marker PDCD1, so 21 genes were both down-regulated and significant)</w:t>
      </w:r>
      <w:r>
        <w:rPr>
          <w:rFonts w:ascii="Times New Roman" w:hAnsi="Times New Roman"/>
          <w:b w:val="0"/>
          <w:i w:val="0"/>
        </w:rPr>
        <w:t xml:space="preserve">, an enrichment concentrated in antigen-presentation and monocytic genes (Table 1). Effect sizes were sub-unit but highly significant: HLA-DRB1 Δ=−0.89 (adj.P=1.1×10⁻¹⁵), CD74 Δ=−0.76 (adj.P=2.1×10⁻¹⁵), CD14 Δ=−0.77 (P≈0, underflow), FCGR3A Δ=−0.61 (adj.P=9.1×10⁻¹¹), HAVCR2/TIM-3 Δ=−0.35 (adj.P=2.8×10⁻¹³). The exhaustion marker PDCD1 was up-regulated (Δ=+0.16, adj.P=3.0×10⁻¹⁰), consistent with T-cell exhaustion superimposed on antigen-presentation failure. PD-1 (PDCD1) up-regulation is a recognised feature of sepsis-associated T-cell exhaustion [3]; PD-1/TIM-3 co-expression more broadly characterises exhausted T cells, and several sepsis studies report TIM-3 up-regulation on circulating T cells in association with severity [20]. The present Mars1 program instead shows net lower </w:t>
      </w:r>
      <w:r>
        <w:rPr>
          <w:rFonts w:ascii="Times New Roman" w:hAnsi="Times New Roman"/>
          <w:b w:val="0"/>
          <w:i/>
        </w:rPr>
        <w:t>bulk</w:t>
      </w:r>
      <w:r>
        <w:rPr>
          <w:rFonts w:ascii="Times New Roman" w:hAnsi="Times New Roman"/>
          <w:b w:val="0"/>
          <w:i w:val="0"/>
        </w:rPr>
        <w:t xml:space="preserve"> HAVCR2/TIM-3 expression, which is compatible with — but does not by itself establish — reduced per-cell checkpoint engagement, because a bulk measurement cannot separate lower T-cell/APC abundance from lower per-cell TIM-3. Bulk TIM-3 down-regulation is not unprecedented in sepsis: lower TIM-3 mRNA in peripheral blood mononuclear cells has been reported in severe sepsis relative to sepsis [20]. The present result is therefore a cohort-specific net-expression observation, not a refutation of the TIM-3-up exhaustion literature [20]. HAVCR2/TIM-3, a checkpoint expressed on both antigen-presenting cells and T cells, was also down-regulated in Mars1 (Δ=−0.35, adj.P=2.8×10⁻¹³). Because this is a bulk-blood measurement, the direction cannot distinguish reduced APC/monocyte abundance from lower per-cell expression, nor can it adjudicate between an APC-abundance signal and the T-cell-intrinsic exhaustion implied by PDCD1 up-regulation; single-cell or flow-cytometric resolution is required before attributing the signal to either mechanism. The Mars1 program also carried a candidate, incompletely supported T-cell-exhaustion signal: only PDCD1 was significantly up-regulated (Δ=+0.16, adj.P=3.0×10⁻¹⁰), whereas LAG3 was directionally but not significantly up (adj.P=0.55). This up-regulation is consistent with, but does not by itself establish, T-cell exhaustion in Mars1 and was not part of the original Mars1 definition of Scicluna et al. [5]; it is reported here as a hypothesis requiring single-cell confirmation. Because these are bulk whole-blood measurements, every direction reported here is subject to the same limitation: a shift in the proportions of monocytes, lymphocytes and granulocytes, or the appearance of immature myeloid and erythroid precursors, will move all transcripts from one compartment coherently and cannot be separated from per-cell regulation; we therefore do not read any individual gene — including HAVCR2/TIM-3 and including the five hubs — as evidence of reduced per-cell expression, and the monocyte HLA-DR literature, which is protein-level and flow-cytometric, remains the independent corroboration for the monocytic arm. In the endotype-only sensitivity contrast (Mars1 vs Mars2/3/4; Supplementary Table S01b), the myeloid/monocytic component is unaffected (CD14 Δ = −0.77, FCGR3A −0.56, CD74 −0.49, HLA-DRB1 −0.59, HAVCR2 −0.39; all retain |Δ| ≥ 0.3 and FDR &lt; 0.05), whereas the T-cell component attenuates by 60–100% (e.g. IL7R −0.60 → −0.20, CD3D −0.44 → −0.15, GZMK −0.31 → −0.07; CTLA4 and CD8B change sign) and a further three genes, including the hub HLA-DQA1 (−0.53 → −0.24), fall below the |logFC| ≥ 0.3 threshold. The endotype-specific immunosuppression described here is therefore myeloid-dominated; T-cell-marker changes in the primary contrast are confounded by sepsis-versus-control status and are not presented as part of the endotype program. PDCD1 up-regulation is strengthened in the endotype-only contrast (Δ = +0.21).</w:t>
      </w:r>
    </w:p>
    <w:p>
      <w:pPr>
        <w:spacing w:before="0" w:after="80"/>
      </w:pPr>
      <w:r>
        <w:rPr>
          <w:rFonts w:ascii="Times New Roman" w:hAnsi="Times New Roman"/>
          <w:b w:val="0"/>
          <w:i/>
        </w:rPr>
        <w:t>Table 1. Consensus immune genes significantly down-regulated in Mars1 (FDR&lt;0.05; selected; two rows marked as failing the |logFC| ≥ 0.3 DEG rule).</w:t>
      </w:r>
      <w:r>
        <w:rPr>
          <w:rFonts w:ascii="Times New Roman" w:hAnsi="Times New Roman"/>
          <w:b w:val="0"/>
          <w:i w:val="0"/>
        </w:rPr>
        <w:t xml:space="preserve">  [full list: </w:t>
      </w:r>
      <w:r>
        <w:rPr>
          <w:rFonts w:ascii="Courier New" w:hAnsi="Courier New"/>
          <w:b w:val="0"/>
          <w:i w:val="0"/>
        </w:rPr>
        <w:t>03_results/S01_immunoparalysis_direction.csv</w:t>
      </w:r>
      <w:r>
        <w:rPr>
          <w:rFonts w:ascii="Times New Roman" w:hAnsi="Times New Roman"/>
          <w:b w:val="0"/>
          <w:i w:val="0"/>
        </w:rPr>
        <w:t>]</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rPr>
          <w:tblHeader/>
        </w:trPr>
        <w:tc>
          <w:tcPr>
            <w:tcW w:type="dxa" w:w="1560"/>
          </w:tcPr>
          <w:p>
            <w:pPr>
              <w:spacing w:line="240" w:lineRule="auto" w:before="20" w:after="20"/>
            </w:pPr>
            <w:r/>
            <w:r>
              <w:rPr>
                <w:rFonts w:ascii="Times New Roman" w:hAnsi="Times New Roman"/>
                <w:b/>
                <w:i w:val="0"/>
                <w:sz w:val="17"/>
              </w:rPr>
              <w:t>Gene</w:t>
            </w:r>
          </w:p>
        </w:tc>
        <w:tc>
          <w:tcPr>
            <w:tcW w:type="dxa" w:w="1560"/>
          </w:tcPr>
          <w:p>
            <w:pPr>
              <w:spacing w:line="240" w:lineRule="auto" w:before="20" w:after="20"/>
            </w:pPr>
            <w:r/>
            <w:r>
              <w:rPr>
                <w:rFonts w:ascii="Times New Roman" w:hAnsi="Times New Roman"/>
                <w:b/>
                <w:i w:val="0"/>
                <w:sz w:val="17"/>
              </w:rPr>
              <w:t>logFC (Mars1−Other)</w:t>
            </w:r>
          </w:p>
        </w:tc>
        <w:tc>
          <w:tcPr>
            <w:tcW w:type="dxa" w:w="1560"/>
          </w:tcPr>
          <w:p>
            <w:pPr>
              <w:spacing w:line="240" w:lineRule="auto" w:before="20" w:after="20"/>
            </w:pPr>
            <w:r/>
            <w:r>
              <w:rPr>
                <w:rFonts w:ascii="Times New Roman" w:hAnsi="Times New Roman"/>
                <w:b/>
                <w:i w:val="0"/>
                <w:sz w:val="17"/>
              </w:rPr>
              <w:t>adj.P.Val</w:t>
            </w:r>
          </w:p>
        </w:tc>
        <w:tc>
          <w:tcPr>
            <w:tcW w:type="dxa" w:w="1560"/>
          </w:tcPr>
          <w:p>
            <w:pPr>
              <w:spacing w:line="240" w:lineRule="auto" w:before="20" w:after="20"/>
            </w:pPr>
            <w:r/>
            <w:r>
              <w:rPr>
                <w:rFonts w:ascii="Times New Roman" w:hAnsi="Times New Roman"/>
                <w:b/>
                <w:i w:val="0"/>
                <w:sz w:val="17"/>
              </w:rPr>
              <w:t>Function</w:t>
            </w:r>
          </w:p>
        </w:tc>
        <w:tc>
          <w:tcPr>
            <w:tcW w:type="dxa" w:w="1560"/>
          </w:tcPr>
          <w:p>
            <w:pPr>
              <w:spacing w:line="240" w:lineRule="auto" w:before="20" w:after="20"/>
            </w:pPr>
            <w:r/>
          </w:p>
        </w:tc>
        <w:tc>
          <w:tcPr>
            <w:tcW w:type="dxa" w:w="1560"/>
          </w:tcPr>
          <w:p>
            <w:pPr>
              <w:spacing w:line="240" w:lineRule="auto" w:before="20" w:after="20"/>
            </w:pPr>
            <w:r/>
          </w:p>
        </w:tc>
      </w:tr>
      <w:tr>
        <w:tc>
          <w:tcPr>
            <w:tcW w:type="dxa" w:w="1560"/>
          </w:tcPr>
          <w:p>
            <w:pPr>
              <w:spacing w:line="240" w:lineRule="auto" w:before="20" w:after="20"/>
            </w:pPr>
            <w:r/>
            <w:r>
              <w:rPr>
                <w:rFonts w:ascii="Times New Roman" w:hAnsi="Times New Roman"/>
                <w:b w:val="0"/>
                <w:i w:val="0"/>
                <w:sz w:val="17"/>
              </w:rPr>
              <w:t>HLA-DRB1</w:t>
            </w:r>
          </w:p>
        </w:tc>
        <w:tc>
          <w:tcPr>
            <w:tcW w:type="dxa" w:w="1560"/>
          </w:tcPr>
          <w:p>
            <w:pPr>
              <w:spacing w:line="240" w:lineRule="auto" w:before="20" w:after="20"/>
            </w:pPr>
            <w:r/>
            <w:r>
              <w:rPr>
                <w:rFonts w:ascii="Times New Roman" w:hAnsi="Times New Roman"/>
                <w:b w:val="0"/>
                <w:i w:val="0"/>
                <w:sz w:val="17"/>
              </w:rPr>
              <w:t>−0.89</w:t>
            </w:r>
          </w:p>
        </w:tc>
        <w:tc>
          <w:tcPr>
            <w:tcW w:type="dxa" w:w="1560"/>
          </w:tcPr>
          <w:p>
            <w:pPr>
              <w:spacing w:line="240" w:lineRule="auto" w:before="20" w:after="20"/>
            </w:pPr>
            <w:r/>
            <w:r>
              <w:rPr>
                <w:rFonts w:ascii="Times New Roman" w:hAnsi="Times New Roman"/>
                <w:b w:val="0"/>
                <w:i w:val="0"/>
                <w:sz w:val="17"/>
              </w:rPr>
              <w:t>1.1e-15</w:t>
            </w:r>
          </w:p>
        </w:tc>
        <w:tc>
          <w:tcPr>
            <w:tcW w:type="dxa" w:w="1560"/>
          </w:tcPr>
          <w:p>
            <w:pPr>
              <w:spacing w:line="240" w:lineRule="auto" w:before="20" w:after="20"/>
            </w:pPr>
            <w:r/>
            <w:r>
              <w:rPr>
                <w:rFonts w:ascii="Times New Roman" w:hAnsi="Times New Roman"/>
                <w:b w:val="0"/>
                <w:i w:val="0"/>
                <w:sz w:val="17"/>
              </w:rPr>
              <w:t>MHC-II</w:t>
            </w:r>
          </w:p>
        </w:tc>
        <w:tc>
          <w:tcPr>
            <w:tcW w:type="dxa" w:w="1560"/>
          </w:tcPr>
          <w:p>
            <w:pPr>
              <w:spacing w:line="240" w:lineRule="auto" w:before="20" w:after="20"/>
            </w:pPr>
            <w:r/>
          </w:p>
        </w:tc>
        <w:tc>
          <w:tcPr>
            <w:tcW w:type="dxa" w:w="1560"/>
          </w:tcPr>
          <w:p>
            <w:pPr>
              <w:spacing w:line="240" w:lineRule="auto" w:before="20" w:after="20"/>
            </w:pPr>
            <w:r/>
          </w:p>
        </w:tc>
      </w:tr>
      <w:tr>
        <w:tc>
          <w:tcPr>
            <w:tcW w:type="dxa" w:w="1560"/>
          </w:tcPr>
          <w:p>
            <w:pPr>
              <w:spacing w:line="240" w:lineRule="auto" w:before="20" w:after="20"/>
            </w:pPr>
            <w:r/>
            <w:r>
              <w:rPr>
                <w:rFonts w:ascii="Times New Roman" w:hAnsi="Times New Roman"/>
                <w:b w:val="0"/>
                <w:i w:val="0"/>
                <w:sz w:val="17"/>
              </w:rPr>
              <w:t>CD74</w:t>
            </w:r>
          </w:p>
        </w:tc>
        <w:tc>
          <w:tcPr>
            <w:tcW w:type="dxa" w:w="1560"/>
          </w:tcPr>
          <w:p>
            <w:pPr>
              <w:spacing w:line="240" w:lineRule="auto" w:before="20" w:after="20"/>
            </w:pPr>
            <w:r/>
            <w:r>
              <w:rPr>
                <w:rFonts w:ascii="Times New Roman" w:hAnsi="Times New Roman"/>
                <w:b w:val="0"/>
                <w:i w:val="0"/>
                <w:sz w:val="17"/>
              </w:rPr>
              <w:t>−0.76</w:t>
            </w:r>
          </w:p>
        </w:tc>
        <w:tc>
          <w:tcPr>
            <w:tcW w:type="dxa" w:w="1560"/>
          </w:tcPr>
          <w:p>
            <w:pPr>
              <w:spacing w:line="240" w:lineRule="auto" w:before="20" w:after="20"/>
            </w:pPr>
            <w:r/>
            <w:r>
              <w:rPr>
                <w:rFonts w:ascii="Times New Roman" w:hAnsi="Times New Roman"/>
                <w:b w:val="0"/>
                <w:i w:val="0"/>
                <w:sz w:val="17"/>
              </w:rPr>
              <w:t>2.1e-15</w:t>
            </w:r>
          </w:p>
        </w:tc>
        <w:tc>
          <w:tcPr>
            <w:tcW w:type="dxa" w:w="1560"/>
          </w:tcPr>
          <w:p>
            <w:pPr>
              <w:spacing w:line="240" w:lineRule="auto" w:before="20" w:after="20"/>
            </w:pPr>
            <w:r/>
            <w:r>
              <w:rPr>
                <w:rFonts w:ascii="Times New Roman" w:hAnsi="Times New Roman"/>
                <w:b w:val="0"/>
                <w:i w:val="0"/>
                <w:sz w:val="17"/>
              </w:rPr>
              <w:t>MHC-II invariant chain</w:t>
            </w:r>
          </w:p>
        </w:tc>
        <w:tc>
          <w:tcPr>
            <w:tcW w:type="dxa" w:w="1560"/>
          </w:tcPr>
          <w:p>
            <w:pPr>
              <w:spacing w:line="240" w:lineRule="auto" w:before="20" w:after="20"/>
            </w:pPr>
            <w:r/>
          </w:p>
        </w:tc>
        <w:tc>
          <w:tcPr>
            <w:tcW w:type="dxa" w:w="1560"/>
          </w:tcPr>
          <w:p>
            <w:pPr>
              <w:spacing w:line="240" w:lineRule="auto" w:before="20" w:after="20"/>
            </w:pPr>
            <w:r/>
          </w:p>
        </w:tc>
      </w:tr>
      <w:tr>
        <w:tc>
          <w:tcPr>
            <w:tcW w:type="dxa" w:w="1560"/>
          </w:tcPr>
          <w:p>
            <w:pPr>
              <w:spacing w:line="240" w:lineRule="auto" w:before="20" w:after="20"/>
            </w:pPr>
            <w:r/>
            <w:r>
              <w:rPr>
                <w:rFonts w:ascii="Times New Roman" w:hAnsi="Times New Roman"/>
                <w:b w:val="0"/>
                <w:i w:val="0"/>
                <w:sz w:val="17"/>
              </w:rPr>
              <w:t>CD14</w:t>
            </w:r>
          </w:p>
        </w:tc>
        <w:tc>
          <w:tcPr>
            <w:tcW w:type="dxa" w:w="1560"/>
          </w:tcPr>
          <w:p>
            <w:pPr>
              <w:spacing w:line="240" w:lineRule="auto" w:before="20" w:after="20"/>
            </w:pPr>
            <w:r/>
            <w:r>
              <w:rPr>
                <w:rFonts w:ascii="Times New Roman" w:hAnsi="Times New Roman"/>
                <w:b w:val="0"/>
                <w:i w:val="0"/>
                <w:sz w:val="17"/>
              </w:rPr>
              <w:t>−0.77</w:t>
            </w:r>
          </w:p>
        </w:tc>
        <w:tc>
          <w:tcPr>
            <w:tcW w:type="dxa" w:w="1560"/>
          </w:tcPr>
          <w:p>
            <w:pPr>
              <w:spacing w:line="240" w:lineRule="auto" w:before="20" w:after="20"/>
            </w:pPr>
            <w:r/>
            <w:r>
              <w:rPr>
                <w:rFonts w:ascii="Times New Roman" w:hAnsi="Times New Roman"/>
                <w:b w:val="0"/>
                <w:i w:val="0"/>
                <w:sz w:val="17"/>
              </w:rPr>
              <w:t>≈0 (P&lt;1e-300)</w:t>
            </w:r>
          </w:p>
        </w:tc>
        <w:tc>
          <w:tcPr>
            <w:tcW w:type="dxa" w:w="1560"/>
          </w:tcPr>
          <w:p>
            <w:pPr>
              <w:spacing w:line="240" w:lineRule="auto" w:before="20" w:after="20"/>
            </w:pPr>
            <w:r/>
            <w:r>
              <w:rPr>
                <w:rFonts w:ascii="Times New Roman" w:hAnsi="Times New Roman"/>
                <w:b w:val="0"/>
                <w:i w:val="0"/>
                <w:sz w:val="17"/>
              </w:rPr>
              <w:t>monocyte receptor</w:t>
            </w:r>
          </w:p>
        </w:tc>
        <w:tc>
          <w:tcPr>
            <w:tcW w:type="dxa" w:w="1560"/>
          </w:tcPr>
          <w:p>
            <w:pPr>
              <w:spacing w:line="240" w:lineRule="auto" w:before="20" w:after="20"/>
            </w:pPr>
            <w:r/>
          </w:p>
        </w:tc>
        <w:tc>
          <w:tcPr>
            <w:tcW w:type="dxa" w:w="1560"/>
          </w:tcPr>
          <w:p>
            <w:pPr>
              <w:spacing w:line="240" w:lineRule="auto" w:before="20" w:after="20"/>
            </w:pPr>
            <w:r/>
          </w:p>
        </w:tc>
      </w:tr>
      <w:tr>
        <w:tc>
          <w:tcPr>
            <w:tcW w:type="dxa" w:w="1560"/>
          </w:tcPr>
          <w:p>
            <w:pPr>
              <w:spacing w:line="240" w:lineRule="auto" w:before="20" w:after="20"/>
            </w:pPr>
            <w:r/>
            <w:r>
              <w:rPr>
                <w:rFonts w:ascii="Times New Roman" w:hAnsi="Times New Roman"/>
                <w:b w:val="0"/>
                <w:i w:val="0"/>
                <w:sz w:val="17"/>
              </w:rPr>
              <w:t>FCGR3A</w:t>
            </w:r>
          </w:p>
        </w:tc>
        <w:tc>
          <w:tcPr>
            <w:tcW w:type="dxa" w:w="1560"/>
          </w:tcPr>
          <w:p>
            <w:pPr>
              <w:spacing w:line="240" w:lineRule="auto" w:before="20" w:after="20"/>
            </w:pPr>
            <w:r/>
            <w:r>
              <w:rPr>
                <w:rFonts w:ascii="Times New Roman" w:hAnsi="Times New Roman"/>
                <w:b w:val="0"/>
                <w:i w:val="0"/>
                <w:sz w:val="17"/>
              </w:rPr>
              <w:t>−0.61</w:t>
            </w:r>
          </w:p>
        </w:tc>
        <w:tc>
          <w:tcPr>
            <w:tcW w:type="dxa" w:w="1560"/>
          </w:tcPr>
          <w:p>
            <w:pPr>
              <w:spacing w:line="240" w:lineRule="auto" w:before="20" w:after="20"/>
            </w:pPr>
            <w:r/>
            <w:r>
              <w:rPr>
                <w:rFonts w:ascii="Times New Roman" w:hAnsi="Times New Roman"/>
                <w:b w:val="0"/>
                <w:i w:val="0"/>
                <w:sz w:val="17"/>
              </w:rPr>
              <w:t>9.1e-11</w:t>
            </w:r>
          </w:p>
        </w:tc>
        <w:tc>
          <w:tcPr>
            <w:tcW w:type="dxa" w:w="1560"/>
          </w:tcPr>
          <w:p>
            <w:pPr>
              <w:spacing w:line="240" w:lineRule="auto" w:before="20" w:after="20"/>
            </w:pPr>
            <w:r/>
            <w:r>
              <w:rPr>
                <w:rFonts w:ascii="Times New Roman" w:hAnsi="Times New Roman"/>
                <w:b w:val="0"/>
                <w:i w:val="0"/>
                <w:sz w:val="17"/>
              </w:rPr>
              <w:t>FcγRIIIa</w:t>
            </w:r>
          </w:p>
        </w:tc>
        <w:tc>
          <w:tcPr>
            <w:tcW w:type="dxa" w:w="1560"/>
          </w:tcPr>
          <w:p>
            <w:pPr>
              <w:spacing w:line="240" w:lineRule="auto" w:before="20" w:after="20"/>
            </w:pPr>
            <w:r/>
          </w:p>
        </w:tc>
        <w:tc>
          <w:tcPr>
            <w:tcW w:type="dxa" w:w="1560"/>
          </w:tcPr>
          <w:p>
            <w:pPr>
              <w:spacing w:line="240" w:lineRule="auto" w:before="20" w:after="20"/>
            </w:pPr>
            <w:r/>
          </w:p>
        </w:tc>
      </w:tr>
      <w:tr>
        <w:tc>
          <w:tcPr>
            <w:tcW w:type="dxa" w:w="1560"/>
          </w:tcPr>
          <w:p>
            <w:pPr>
              <w:spacing w:line="240" w:lineRule="auto" w:before="20" w:after="20"/>
            </w:pPr>
            <w:r/>
            <w:r>
              <w:rPr>
                <w:rFonts w:ascii="Times New Roman" w:hAnsi="Times New Roman"/>
                <w:b w:val="0"/>
                <w:i w:val="0"/>
                <w:sz w:val="17"/>
              </w:rPr>
              <w:t>ITGAM</w:t>
            </w:r>
          </w:p>
        </w:tc>
        <w:tc>
          <w:tcPr>
            <w:tcW w:type="dxa" w:w="1560"/>
          </w:tcPr>
          <w:p>
            <w:pPr>
              <w:spacing w:line="240" w:lineRule="auto" w:before="20" w:after="20"/>
            </w:pPr>
            <w:r/>
            <w:r>
              <w:rPr>
                <w:rFonts w:ascii="Times New Roman" w:hAnsi="Times New Roman"/>
                <w:b w:val="0"/>
                <w:i w:val="0"/>
                <w:sz w:val="17"/>
              </w:rPr>
              <w:t>−0.21</w:t>
            </w:r>
          </w:p>
        </w:tc>
        <w:tc>
          <w:tcPr>
            <w:tcW w:type="dxa" w:w="1560"/>
          </w:tcPr>
          <w:p>
            <w:pPr>
              <w:spacing w:line="240" w:lineRule="auto" w:before="20" w:after="20"/>
            </w:pPr>
            <w:r/>
            <w:r>
              <w:rPr>
                <w:rFonts w:ascii="Times New Roman" w:hAnsi="Times New Roman"/>
                <w:b w:val="0"/>
                <w:i w:val="0"/>
                <w:sz w:val="17"/>
              </w:rPr>
              <w:t>1.7e-03</w:t>
            </w:r>
          </w:p>
        </w:tc>
        <w:tc>
          <w:tcPr>
            <w:tcW w:type="dxa" w:w="1560"/>
          </w:tcPr>
          <w:p>
            <w:pPr>
              <w:spacing w:line="240" w:lineRule="auto" w:before="20" w:after="20"/>
            </w:pPr>
            <w:r/>
            <w:r>
              <w:rPr>
                <w:rFonts w:ascii="Times New Roman" w:hAnsi="Times New Roman"/>
                <w:b w:val="0"/>
                <w:i w:val="0"/>
                <w:sz w:val="17"/>
              </w:rPr>
              <w:t>integrin αM (significant at FDR&lt;0.05, adj.P=1.7×10⁻³, but below the `</w:t>
            </w:r>
          </w:p>
        </w:tc>
        <w:tc>
          <w:tcPr>
            <w:tcW w:type="dxa" w:w="1560"/>
          </w:tcPr>
          <w:p>
            <w:pPr>
              <w:spacing w:line="240" w:lineRule="auto" w:before="20" w:after="20"/>
            </w:pPr>
            <w:r/>
            <w:r>
              <w:rPr>
                <w:rFonts w:ascii="Times New Roman" w:hAnsi="Times New Roman"/>
                <w:b w:val="0"/>
                <w:i w:val="0"/>
                <w:sz w:val="17"/>
              </w:rPr>
              <w:t>logFC</w:t>
            </w:r>
          </w:p>
        </w:tc>
        <w:tc>
          <w:tcPr>
            <w:tcW w:type="dxa" w:w="1560"/>
          </w:tcPr>
          <w:p>
            <w:pPr>
              <w:spacing w:line="240" w:lineRule="auto" w:before="20" w:after="20"/>
            </w:pPr>
            <w:r/>
            <w:r>
              <w:rPr>
                <w:rFonts w:ascii="Times New Roman" w:hAnsi="Times New Roman"/>
                <w:b w:val="0"/>
                <w:i w:val="0"/>
                <w:sz w:val="17"/>
              </w:rPr>
              <w:t>≥ 0.3` DEG fold-change threshold, DEG_0.3=False)</w:t>
            </w:r>
          </w:p>
        </w:tc>
      </w:tr>
      <w:tr>
        <w:tc>
          <w:tcPr>
            <w:tcW w:type="dxa" w:w="1560"/>
          </w:tcPr>
          <w:p>
            <w:pPr>
              <w:spacing w:line="240" w:lineRule="auto" w:before="20" w:after="20"/>
            </w:pPr>
            <w:r/>
            <w:r>
              <w:rPr>
                <w:rFonts w:ascii="Times New Roman" w:hAnsi="Times New Roman"/>
                <w:b w:val="0"/>
                <w:i w:val="0"/>
                <w:sz w:val="17"/>
              </w:rPr>
              <w:t>HAVCR2</w:t>
            </w:r>
          </w:p>
        </w:tc>
        <w:tc>
          <w:tcPr>
            <w:tcW w:type="dxa" w:w="1560"/>
          </w:tcPr>
          <w:p>
            <w:pPr>
              <w:spacing w:line="240" w:lineRule="auto" w:before="20" w:after="20"/>
            </w:pPr>
            <w:r/>
            <w:r>
              <w:rPr>
                <w:rFonts w:ascii="Times New Roman" w:hAnsi="Times New Roman"/>
                <w:b w:val="0"/>
                <w:i w:val="0"/>
                <w:sz w:val="17"/>
              </w:rPr>
              <w:t>−0.35</w:t>
            </w:r>
          </w:p>
        </w:tc>
        <w:tc>
          <w:tcPr>
            <w:tcW w:type="dxa" w:w="1560"/>
          </w:tcPr>
          <w:p>
            <w:pPr>
              <w:spacing w:line="240" w:lineRule="auto" w:before="20" w:after="20"/>
            </w:pPr>
            <w:r/>
            <w:r>
              <w:rPr>
                <w:rFonts w:ascii="Times New Roman" w:hAnsi="Times New Roman"/>
                <w:b w:val="0"/>
                <w:i w:val="0"/>
                <w:sz w:val="17"/>
              </w:rPr>
              <w:t>2.8e-13</w:t>
            </w:r>
          </w:p>
        </w:tc>
        <w:tc>
          <w:tcPr>
            <w:tcW w:type="dxa" w:w="1560"/>
          </w:tcPr>
          <w:p>
            <w:pPr>
              <w:spacing w:line="240" w:lineRule="auto" w:before="20" w:after="20"/>
            </w:pPr>
            <w:r/>
            <w:r>
              <w:rPr>
                <w:rFonts w:ascii="Times New Roman" w:hAnsi="Times New Roman"/>
                <w:b w:val="0"/>
                <w:i w:val="0"/>
                <w:sz w:val="17"/>
              </w:rPr>
              <w:t>TIM-3</w:t>
            </w:r>
          </w:p>
        </w:tc>
        <w:tc>
          <w:tcPr>
            <w:tcW w:type="dxa" w:w="1560"/>
          </w:tcPr>
          <w:p>
            <w:pPr>
              <w:spacing w:line="240" w:lineRule="auto" w:before="20" w:after="20"/>
            </w:pPr>
            <w:r/>
          </w:p>
        </w:tc>
        <w:tc>
          <w:tcPr>
            <w:tcW w:type="dxa" w:w="1560"/>
          </w:tcPr>
          <w:p>
            <w:pPr>
              <w:spacing w:line="240" w:lineRule="auto" w:before="20" w:after="20"/>
            </w:pPr>
            <w:r/>
          </w:p>
        </w:tc>
      </w:tr>
      <w:tr>
        <w:tc>
          <w:tcPr>
            <w:tcW w:type="dxa" w:w="1560"/>
          </w:tcPr>
          <w:p>
            <w:pPr>
              <w:spacing w:line="240" w:lineRule="auto" w:before="20" w:after="20"/>
            </w:pPr>
            <w:r/>
            <w:r>
              <w:rPr>
                <w:rFonts w:ascii="Times New Roman" w:hAnsi="Times New Roman"/>
                <w:b w:val="0"/>
                <w:i w:val="0"/>
                <w:sz w:val="17"/>
              </w:rPr>
              <w:t>HLA-DRA</w:t>
            </w:r>
          </w:p>
        </w:tc>
        <w:tc>
          <w:tcPr>
            <w:tcW w:type="dxa" w:w="1560"/>
          </w:tcPr>
          <w:p>
            <w:pPr>
              <w:spacing w:line="240" w:lineRule="auto" w:before="20" w:after="20"/>
            </w:pPr>
            <w:r/>
            <w:r>
              <w:rPr>
                <w:rFonts w:ascii="Times New Roman" w:hAnsi="Times New Roman"/>
                <w:b w:val="0"/>
                <w:i w:val="0"/>
                <w:sz w:val="17"/>
              </w:rPr>
              <w:t>−0.47</w:t>
            </w:r>
          </w:p>
        </w:tc>
        <w:tc>
          <w:tcPr>
            <w:tcW w:type="dxa" w:w="1560"/>
          </w:tcPr>
          <w:p>
            <w:pPr>
              <w:spacing w:line="240" w:lineRule="auto" w:before="20" w:after="20"/>
            </w:pPr>
            <w:r/>
            <w:r>
              <w:rPr>
                <w:rFonts w:ascii="Times New Roman" w:hAnsi="Times New Roman"/>
                <w:b w:val="0"/>
                <w:i w:val="0"/>
                <w:sz w:val="17"/>
              </w:rPr>
              <w:t>3.8e-07</w:t>
            </w:r>
          </w:p>
        </w:tc>
        <w:tc>
          <w:tcPr>
            <w:tcW w:type="dxa" w:w="1560"/>
          </w:tcPr>
          <w:p>
            <w:pPr>
              <w:spacing w:line="240" w:lineRule="auto" w:before="20" w:after="20"/>
            </w:pPr>
            <w:r/>
            <w:r>
              <w:rPr>
                <w:rFonts w:ascii="Times New Roman" w:hAnsi="Times New Roman"/>
                <w:b w:val="0"/>
                <w:i w:val="0"/>
                <w:sz w:val="17"/>
              </w:rPr>
              <w:t>MHC-II</w:t>
            </w:r>
          </w:p>
        </w:tc>
        <w:tc>
          <w:tcPr>
            <w:tcW w:type="dxa" w:w="1560"/>
          </w:tcPr>
          <w:p>
            <w:pPr>
              <w:spacing w:line="240" w:lineRule="auto" w:before="20" w:after="20"/>
            </w:pPr>
            <w:r/>
          </w:p>
        </w:tc>
        <w:tc>
          <w:tcPr>
            <w:tcW w:type="dxa" w:w="1560"/>
          </w:tcPr>
          <w:p>
            <w:pPr>
              <w:spacing w:line="240" w:lineRule="auto" w:before="20" w:after="20"/>
            </w:pPr>
            <w:r/>
          </w:p>
        </w:tc>
      </w:tr>
      <w:tr>
        <w:tc>
          <w:tcPr>
            <w:tcW w:type="dxa" w:w="1560"/>
          </w:tcPr>
          <w:p>
            <w:pPr>
              <w:spacing w:line="240" w:lineRule="auto" w:before="20" w:after="20"/>
            </w:pPr>
            <w:r/>
            <w:r>
              <w:rPr>
                <w:rFonts w:ascii="Times New Roman" w:hAnsi="Times New Roman"/>
                <w:b w:val="0"/>
                <w:i w:val="0"/>
                <w:sz w:val="17"/>
              </w:rPr>
              <w:t>LYZ</w:t>
            </w:r>
          </w:p>
        </w:tc>
        <w:tc>
          <w:tcPr>
            <w:tcW w:type="dxa" w:w="1560"/>
          </w:tcPr>
          <w:p>
            <w:pPr>
              <w:spacing w:line="240" w:lineRule="auto" w:before="20" w:after="20"/>
            </w:pPr>
            <w:r/>
            <w:r>
              <w:rPr>
                <w:rFonts w:ascii="Times New Roman" w:hAnsi="Times New Roman"/>
                <w:b w:val="0"/>
                <w:i w:val="0"/>
                <w:sz w:val="17"/>
              </w:rPr>
              <w:t>−0.26</w:t>
            </w:r>
          </w:p>
        </w:tc>
        <w:tc>
          <w:tcPr>
            <w:tcW w:type="dxa" w:w="1560"/>
          </w:tcPr>
          <w:p>
            <w:pPr>
              <w:spacing w:line="240" w:lineRule="auto" w:before="20" w:after="20"/>
            </w:pPr>
            <w:r/>
            <w:r>
              <w:rPr>
                <w:rFonts w:ascii="Times New Roman" w:hAnsi="Times New Roman"/>
                <w:b w:val="0"/>
                <w:i w:val="0"/>
                <w:sz w:val="17"/>
              </w:rPr>
              <w:t>3.6e-06</w:t>
            </w:r>
          </w:p>
        </w:tc>
        <w:tc>
          <w:tcPr>
            <w:tcW w:type="dxa" w:w="1560"/>
          </w:tcPr>
          <w:p>
            <w:pPr>
              <w:spacing w:line="240" w:lineRule="auto" w:before="20" w:after="20"/>
            </w:pPr>
            <w:r/>
            <w:r>
              <w:rPr>
                <w:rFonts w:ascii="Times New Roman" w:hAnsi="Times New Roman"/>
                <w:b w:val="0"/>
                <w:i w:val="0"/>
                <w:sz w:val="17"/>
              </w:rPr>
              <w:t>lysozyme (significant at FDR&lt;0.05, adj.P=3.6×10⁻⁶, but below the</w:t>
            </w:r>
          </w:p>
        </w:tc>
        <w:tc>
          <w:tcPr>
            <w:tcW w:type="dxa" w:w="1560"/>
          </w:tcPr>
          <w:p>
            <w:pPr>
              <w:spacing w:line="240" w:lineRule="auto" w:before="20" w:after="20"/>
            </w:pPr>
            <w:r/>
            <w:r>
              <w:rPr>
                <w:rFonts w:ascii="Times New Roman" w:hAnsi="Times New Roman"/>
                <w:b w:val="0"/>
                <w:i w:val="0"/>
                <w:sz w:val="17"/>
              </w:rPr>
              <w:t>logFC</w:t>
            </w:r>
          </w:p>
        </w:tc>
        <w:tc>
          <w:tcPr>
            <w:tcW w:type="dxa" w:w="1560"/>
          </w:tcPr>
          <w:p>
            <w:pPr>
              <w:spacing w:line="240" w:lineRule="auto" w:before="20" w:after="20"/>
            </w:pPr>
            <w:r/>
            <w:r>
              <w:rPr>
                <w:rFonts w:ascii="Times New Roman" w:hAnsi="Times New Roman"/>
                <w:b w:val="0"/>
                <w:i w:val="0"/>
                <w:sz w:val="17"/>
              </w:rPr>
              <w:t>≥ 0.3 DEG fold-change threshold, DEG_0.3=False)</w:t>
            </w:r>
          </w:p>
        </w:tc>
      </w:tr>
    </w:tbl>
    <w:p>
      <w:pPr>
        <w:spacing w:line="240" w:lineRule="auto" w:before="0" w:after="120"/>
      </w:pPr>
    </w:p>
    <w:p>
      <w:pPr>
        <w:spacing w:before="0" w:after="80"/>
      </w:pPr>
      <w:r>
        <w:rPr>
          <w:rFonts w:ascii="Times New Roman" w:hAnsi="Times New Roman"/>
          <w:b w:val="0"/>
          <w:i w:val="0"/>
        </w:rPr>
        <w:t xml:space="preserve">Sepsis-vs-healthy was far smaller (448 DEGs at |logFC|≥0.3), which indicates that the immunoparalysis signal is carried by </w:t>
      </w:r>
      <w:r>
        <w:rPr>
          <w:rFonts w:ascii="Times New Roman" w:hAnsi="Times New Roman"/>
          <w:b w:val="0"/>
          <w:i/>
        </w:rPr>
        <w:t>endotype</w:t>
      </w:r>
      <w:r>
        <w:rPr>
          <w:rFonts w:ascii="Times New Roman" w:hAnsi="Times New Roman"/>
          <w:b w:val="0"/>
          <w:i w:val="0"/>
        </w:rPr>
        <w:t xml:space="preserve"> stratification rather than case/control status.</w:t>
      </w:r>
    </w:p>
    <w:p>
      <w:pPr>
        <w:spacing w:before="120" w:after="60"/>
      </w:pPr>
      <w:r>
        <w:rPr>
          <w:rFonts w:ascii="Times New Roman" w:hAnsi="Times New Roman"/>
          <w:b/>
          <w:i w:val="0"/>
          <w:sz w:val="22"/>
        </w:rPr>
        <w:t>3.2 Immune-function score is lowest in Mars1</w:t>
      </w:r>
    </w:p>
    <w:p>
      <w:pPr>
        <w:spacing w:before="0" w:after="80"/>
      </w:pPr>
      <w:r>
        <w:rPr>
          <w:rFonts w:ascii="Times New Roman" w:hAnsi="Times New Roman"/>
          <w:b w:val="0"/>
          <w:i w:val="0"/>
        </w:rPr>
        <w:t xml:space="preserve">The composite immune score was </w:t>
      </w:r>
      <w:r>
        <w:rPr>
          <w:rFonts w:ascii="Times New Roman" w:hAnsi="Times New Roman"/>
          <w:b/>
          <w:i w:val="0"/>
        </w:rPr>
        <w:t>lowest in the Mars1/Mars2 cluster (median −0.79 in Mars1; the score ranged from −3.65 to 3.86 across all 802 profiled samples, of which 323 carry no MARS assignment — the range across assigned endotypes alone was −3.65 to 2.95)</w:t>
      </w:r>
      <w:r>
        <w:rPr>
          <w:rFonts w:ascii="Times New Roman" w:hAnsi="Times New Roman"/>
          <w:b w:val="0"/>
          <w:i w:val="0"/>
        </w:rPr>
        <w:t xml:space="preserve">. The score separated the Mars1/Mars2 pair from Mars3 (Mann–Whitney P = 1.9×10⁻¹⁸) and Mars4 (P = 1.3×10⁻³) but did </w:t>
      </w:r>
      <w:r>
        <w:rPr>
          <w:rFonts w:ascii="Times New Roman" w:hAnsi="Times New Roman"/>
          <w:b/>
          <w:i w:val="0"/>
        </w:rPr>
        <w:t>not</w:t>
      </w:r>
      <w:r>
        <w:rPr>
          <w:rFonts w:ascii="Times New Roman" w:hAnsi="Times New Roman"/>
          <w:b w:val="0"/>
          <w:i w:val="0"/>
        </w:rPr>
        <w:t xml:space="preserve"> distinguish Mars1 from Mars2 (median −0.79 vs −0.75; P = 0.47); it therefore indexes a two-cluster immune gradient common to both low-score endotypes rather than a Mars1-specific signature. Because the score is built from the same HLA-II / T-cell / exhaustion gene sets that define the Mars1 program, the low Mars1/Mars2 score is partly definitional; the score is nonetheless used prognostically across the whole cohort, not only within Mars1, and its association with 28-day death is reported separately in §3.4. Mars1 also classified 28-day death at AUC 0.578 (binary indicator; the continuous signature in §3.4 is stronger) [</w:t>
      </w:r>
      <w:r>
        <w:rPr>
          <w:rFonts w:ascii="Times New Roman" w:hAnsi="Times New Roman"/>
          <w:b w:val="0"/>
          <w:i/>
        </w:rPr>
        <w:t>Fig. S1</w:t>
      </w:r>
      <w:r>
        <w:rPr>
          <w:rFonts w:ascii="Times New Roman" w:hAnsi="Times New Roman"/>
          <w:b w:val="0"/>
          <w:i w:val="0"/>
        </w:rPr>
        <w:t>]. The per-endotype medians and pairwise comparisons are summarised in Table 2. In this re-analysis Mars1 carried a 28-day mortality of 34.1% (45/132) versus 19.9% (69/347) for Mars2–4 combined (odds ratio 2.08); the corresponding odds are lower than the 39% reported in the original MARS derivation [5], plausibly reflecting re-processing on GPL13667 rather than the original platform and the inclusion here of unassigned patients in the comparison group. The endotype label itself is therefore a weak mortality classifier (AUC 0.578), and the prognostic signal used in §3.4–3.5 comes from the continuous signature, not from endotype membership.</w:t>
      </w:r>
    </w:p>
    <w:p>
      <w:pPr>
        <w:spacing w:before="0" w:after="80"/>
      </w:pPr>
      <w:r>
        <w:rPr>
          <w:rFonts w:ascii="Times New Roman" w:hAnsi="Times New Roman"/>
          <w:b w:val="0"/>
          <w:i/>
        </w:rPr>
        <w:t>Table 2. Immune-function score by MARS endotype (median; Mann–Whitney U vs Mars1).</w:t>
      </w:r>
      <w:r>
        <w:rPr>
          <w:rFonts w:ascii="Times New Roman" w:hAnsi="Times New Roman"/>
          <w:b w:val="0"/>
          <w:i w:val="0"/>
        </w:rPr>
        <w:t xml:space="preserve">  [source: </w:t>
      </w:r>
      <w:r>
        <w:rPr>
          <w:rFonts w:ascii="Courier New" w:hAnsi="Courier New"/>
          <w:b w:val="0"/>
          <w:i w:val="0"/>
        </w:rPr>
        <w:t>03_results/S02_immunoparalysis_score.csv</w:t>
      </w:r>
      <w:r>
        <w:rPr>
          <w:rFonts w:ascii="Times New Roman" w:hAnsi="Times New Roman"/>
          <w:b w:val="0"/>
          <w:i w:val="0"/>
        </w:rPr>
        <w:t>]</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tblHeader/>
        </w:trPr>
        <w:tc>
          <w:tcPr>
            <w:tcW w:type="dxa" w:w="2340"/>
          </w:tcPr>
          <w:p>
            <w:pPr>
              <w:spacing w:line="240" w:lineRule="auto" w:before="20" w:after="20"/>
            </w:pPr>
            <w:r/>
            <w:r>
              <w:rPr>
                <w:rFonts w:ascii="Times New Roman" w:hAnsi="Times New Roman"/>
                <w:b/>
                <w:i w:val="0"/>
                <w:sz w:val="17"/>
              </w:rPr>
              <w:t>Endotype</w:t>
            </w:r>
          </w:p>
        </w:tc>
        <w:tc>
          <w:tcPr>
            <w:tcW w:type="dxa" w:w="2340"/>
          </w:tcPr>
          <w:p>
            <w:pPr>
              <w:spacing w:line="240" w:lineRule="auto" w:before="20" w:after="20"/>
            </w:pPr>
            <w:r/>
            <w:r>
              <w:rPr>
                <w:rFonts w:ascii="Times New Roman" w:hAnsi="Times New Roman"/>
                <w:b/>
                <w:i w:val="0"/>
                <w:sz w:val="17"/>
              </w:rPr>
              <w:t>n</w:t>
            </w:r>
          </w:p>
        </w:tc>
        <w:tc>
          <w:tcPr>
            <w:tcW w:type="dxa" w:w="2340"/>
          </w:tcPr>
          <w:p>
            <w:pPr>
              <w:spacing w:line="240" w:lineRule="auto" w:before="20" w:after="20"/>
            </w:pPr>
            <w:r/>
            <w:r>
              <w:rPr>
                <w:rFonts w:ascii="Times New Roman" w:hAnsi="Times New Roman"/>
                <w:b/>
                <w:i w:val="0"/>
                <w:sz w:val="17"/>
              </w:rPr>
              <w:t>median score</w:t>
            </w:r>
          </w:p>
        </w:tc>
        <w:tc>
          <w:tcPr>
            <w:tcW w:type="dxa" w:w="2340"/>
          </w:tcPr>
          <w:p>
            <w:pPr>
              <w:spacing w:line="240" w:lineRule="auto" w:before="20" w:after="20"/>
            </w:pPr>
            <w:r/>
            <w:r>
              <w:rPr>
                <w:rFonts w:ascii="Times New Roman" w:hAnsi="Times New Roman"/>
                <w:b/>
                <w:i w:val="0"/>
                <w:sz w:val="17"/>
              </w:rPr>
              <w:t>vs Mars1 (P)</w:t>
            </w:r>
          </w:p>
        </w:tc>
      </w:tr>
      <w:tr>
        <w:tc>
          <w:tcPr>
            <w:tcW w:type="dxa" w:w="2340"/>
          </w:tcPr>
          <w:p>
            <w:pPr>
              <w:spacing w:line="240" w:lineRule="auto" w:before="20" w:after="20"/>
            </w:pPr>
            <w:r/>
            <w:r>
              <w:rPr>
                <w:rFonts w:ascii="Times New Roman" w:hAnsi="Times New Roman"/>
                <w:b w:val="0"/>
                <w:i w:val="0"/>
                <w:sz w:val="17"/>
              </w:rPr>
              <w:t>Mars1</w:t>
            </w:r>
          </w:p>
        </w:tc>
        <w:tc>
          <w:tcPr>
            <w:tcW w:type="dxa" w:w="2340"/>
          </w:tcPr>
          <w:p>
            <w:pPr>
              <w:spacing w:line="240" w:lineRule="auto" w:before="20" w:after="20"/>
            </w:pPr>
            <w:r/>
            <w:r>
              <w:rPr>
                <w:rFonts w:ascii="Times New Roman" w:hAnsi="Times New Roman"/>
                <w:b w:val="0"/>
                <w:i w:val="0"/>
                <w:sz w:val="17"/>
              </w:rPr>
              <w:t>132</w:t>
            </w:r>
          </w:p>
        </w:tc>
        <w:tc>
          <w:tcPr>
            <w:tcW w:type="dxa" w:w="2340"/>
          </w:tcPr>
          <w:p>
            <w:pPr>
              <w:spacing w:line="240" w:lineRule="auto" w:before="20" w:after="20"/>
            </w:pPr>
            <w:r/>
            <w:r>
              <w:rPr>
                <w:rFonts w:ascii="Times New Roman" w:hAnsi="Times New Roman"/>
                <w:b w:val="0"/>
                <w:i w:val="0"/>
                <w:sz w:val="17"/>
              </w:rPr>
              <w:t>−0.792</w:t>
            </w:r>
          </w:p>
        </w:tc>
        <w:tc>
          <w:tcPr>
            <w:tcW w:type="dxa" w:w="2340"/>
          </w:tcPr>
          <w:p>
            <w:pPr>
              <w:spacing w:line="240" w:lineRule="auto" w:before="20" w:after="20"/>
            </w:pPr>
            <w:r/>
            <w:r>
              <w:rPr>
                <w:rFonts w:ascii="Times New Roman" w:hAnsi="Times New Roman"/>
                <w:b w:val="0"/>
                <w:i w:val="0"/>
                <w:sz w:val="17"/>
              </w:rPr>
              <w:t>—</w:t>
            </w:r>
          </w:p>
        </w:tc>
      </w:tr>
      <w:tr>
        <w:tc>
          <w:tcPr>
            <w:tcW w:type="dxa" w:w="2340"/>
          </w:tcPr>
          <w:p>
            <w:pPr>
              <w:spacing w:line="240" w:lineRule="auto" w:before="20" w:after="20"/>
            </w:pPr>
            <w:r/>
            <w:r>
              <w:rPr>
                <w:rFonts w:ascii="Times New Roman" w:hAnsi="Times New Roman"/>
                <w:b w:val="0"/>
                <w:i w:val="0"/>
                <w:sz w:val="17"/>
              </w:rPr>
              <w:t>Mars2</w:t>
            </w:r>
          </w:p>
        </w:tc>
        <w:tc>
          <w:tcPr>
            <w:tcW w:type="dxa" w:w="2340"/>
          </w:tcPr>
          <w:p>
            <w:pPr>
              <w:spacing w:line="240" w:lineRule="auto" w:before="20" w:after="20"/>
            </w:pPr>
            <w:r/>
            <w:r>
              <w:rPr>
                <w:rFonts w:ascii="Times New Roman" w:hAnsi="Times New Roman"/>
                <w:b w:val="0"/>
                <w:i w:val="0"/>
                <w:sz w:val="17"/>
              </w:rPr>
              <w:t>176</w:t>
            </w:r>
          </w:p>
        </w:tc>
        <w:tc>
          <w:tcPr>
            <w:tcW w:type="dxa" w:w="2340"/>
          </w:tcPr>
          <w:p>
            <w:pPr>
              <w:spacing w:line="240" w:lineRule="auto" w:before="20" w:after="20"/>
            </w:pPr>
            <w:r/>
            <w:r>
              <w:rPr>
                <w:rFonts w:ascii="Times New Roman" w:hAnsi="Times New Roman"/>
                <w:b w:val="0"/>
                <w:i w:val="0"/>
                <w:sz w:val="17"/>
              </w:rPr>
              <w:t>−0.752</w:t>
            </w:r>
          </w:p>
        </w:tc>
        <w:tc>
          <w:tcPr>
            <w:tcW w:type="dxa" w:w="2340"/>
          </w:tcPr>
          <w:p>
            <w:pPr>
              <w:spacing w:line="240" w:lineRule="auto" w:before="20" w:after="20"/>
            </w:pPr>
            <w:r/>
            <w:r>
              <w:rPr>
                <w:rFonts w:ascii="Times New Roman" w:hAnsi="Times New Roman"/>
                <w:b w:val="0"/>
                <w:i w:val="0"/>
                <w:sz w:val="17"/>
              </w:rPr>
              <w:t>0.47</w:t>
            </w:r>
          </w:p>
        </w:tc>
      </w:tr>
      <w:tr>
        <w:tc>
          <w:tcPr>
            <w:tcW w:type="dxa" w:w="2340"/>
          </w:tcPr>
          <w:p>
            <w:pPr>
              <w:spacing w:line="240" w:lineRule="auto" w:before="20" w:after="20"/>
            </w:pPr>
            <w:r/>
            <w:r>
              <w:rPr>
                <w:rFonts w:ascii="Times New Roman" w:hAnsi="Times New Roman"/>
                <w:b w:val="0"/>
                <w:i w:val="0"/>
                <w:sz w:val="17"/>
              </w:rPr>
              <w:t>Mars3</w:t>
            </w:r>
          </w:p>
        </w:tc>
        <w:tc>
          <w:tcPr>
            <w:tcW w:type="dxa" w:w="2340"/>
          </w:tcPr>
          <w:p>
            <w:pPr>
              <w:spacing w:line="240" w:lineRule="auto" w:before="20" w:after="20"/>
            </w:pPr>
            <w:r/>
            <w:r>
              <w:rPr>
                <w:rFonts w:ascii="Times New Roman" w:hAnsi="Times New Roman"/>
                <w:b w:val="0"/>
                <w:i w:val="0"/>
                <w:sz w:val="17"/>
              </w:rPr>
              <w:t>118</w:t>
            </w:r>
          </w:p>
        </w:tc>
        <w:tc>
          <w:tcPr>
            <w:tcW w:type="dxa" w:w="2340"/>
          </w:tcPr>
          <w:p>
            <w:pPr>
              <w:spacing w:line="240" w:lineRule="auto" w:before="20" w:after="20"/>
            </w:pPr>
            <w:r/>
            <w:r>
              <w:rPr>
                <w:rFonts w:ascii="Times New Roman" w:hAnsi="Times New Roman"/>
                <w:b w:val="0"/>
                <w:i w:val="0"/>
                <w:sz w:val="17"/>
              </w:rPr>
              <w:t>0.641</w:t>
            </w:r>
          </w:p>
        </w:tc>
        <w:tc>
          <w:tcPr>
            <w:tcW w:type="dxa" w:w="2340"/>
          </w:tcPr>
          <w:p>
            <w:pPr>
              <w:spacing w:line="240" w:lineRule="auto" w:before="20" w:after="20"/>
            </w:pPr>
            <w:r/>
            <w:r>
              <w:rPr>
                <w:rFonts w:ascii="Times New Roman" w:hAnsi="Times New Roman"/>
                <w:b w:val="0"/>
                <w:i w:val="0"/>
                <w:sz w:val="17"/>
              </w:rPr>
              <w:t>1.9×10⁻¹⁸</w:t>
            </w:r>
          </w:p>
        </w:tc>
      </w:tr>
      <w:tr>
        <w:tc>
          <w:tcPr>
            <w:tcW w:type="dxa" w:w="2340"/>
          </w:tcPr>
          <w:p>
            <w:pPr>
              <w:spacing w:line="240" w:lineRule="auto" w:before="20" w:after="20"/>
            </w:pPr>
            <w:r/>
            <w:r>
              <w:rPr>
                <w:rFonts w:ascii="Times New Roman" w:hAnsi="Times New Roman"/>
                <w:b w:val="0"/>
                <w:i w:val="0"/>
                <w:sz w:val="17"/>
              </w:rPr>
              <w:t>Mars4</w:t>
            </w:r>
          </w:p>
        </w:tc>
        <w:tc>
          <w:tcPr>
            <w:tcW w:type="dxa" w:w="2340"/>
          </w:tcPr>
          <w:p>
            <w:pPr>
              <w:spacing w:line="240" w:lineRule="auto" w:before="20" w:after="20"/>
            </w:pPr>
            <w:r/>
            <w:r>
              <w:rPr>
                <w:rFonts w:ascii="Times New Roman" w:hAnsi="Times New Roman"/>
                <w:b w:val="0"/>
                <w:i w:val="0"/>
                <w:sz w:val="17"/>
              </w:rPr>
              <w:t>53</w:t>
            </w:r>
          </w:p>
        </w:tc>
        <w:tc>
          <w:tcPr>
            <w:tcW w:type="dxa" w:w="2340"/>
          </w:tcPr>
          <w:p>
            <w:pPr>
              <w:spacing w:line="240" w:lineRule="auto" w:before="20" w:after="20"/>
            </w:pPr>
            <w:r/>
            <w:r>
              <w:rPr>
                <w:rFonts w:ascii="Times New Roman" w:hAnsi="Times New Roman"/>
                <w:b w:val="0"/>
                <w:i w:val="0"/>
                <w:sz w:val="17"/>
              </w:rPr>
              <w:t>−0.235</w:t>
            </w:r>
          </w:p>
        </w:tc>
        <w:tc>
          <w:tcPr>
            <w:tcW w:type="dxa" w:w="2340"/>
          </w:tcPr>
          <w:p>
            <w:pPr>
              <w:spacing w:line="240" w:lineRule="auto" w:before="20" w:after="20"/>
            </w:pPr>
            <w:r/>
            <w:r>
              <w:rPr>
                <w:rFonts w:ascii="Times New Roman" w:hAnsi="Times New Roman"/>
                <w:b w:val="0"/>
                <w:i w:val="0"/>
                <w:sz w:val="17"/>
              </w:rPr>
              <w:t>1.3×10⁻³</w:t>
            </w:r>
          </w:p>
        </w:tc>
      </w:tr>
    </w:tbl>
    <w:p>
      <w:pPr>
        <w:spacing w:line="240" w:lineRule="auto" w:before="0" w:after="120"/>
      </w:pPr>
    </w:p>
    <w:p>
      <w:pPr>
        <w:spacing w:before="0" w:after="80"/>
      </w:pPr>
      <w:r>
        <w:rPr>
          <w:rFonts w:ascii="Times New Roman" w:hAnsi="Times New Roman"/>
          <w:b w:val="0"/>
          <w:i/>
        </w:rPr>
        <w:t>Fig. S1. ROC of 28-day mortality by the Mars1 binary indicator (AUC 0.578, discovery cohort).</w:t>
      </w:r>
      <w:r>
        <w:rPr>
          <w:rFonts w:ascii="Times New Roman" w:hAnsi="Times New Roman"/>
          <w:b w:val="0"/>
          <w:i w:val="0"/>
        </w:rPr>
        <w:t xml:space="preserve"> </w:t>
      </w:r>
    </w:p>
    <w:p>
      <w:pPr>
        <w:spacing w:before="0" w:after="80"/>
      </w:pPr>
      <w:r>
        <w:rPr>
          <w:rFonts w:ascii="Times New Roman" w:hAnsi="Times New Roman"/>
          <w:b w:val="0"/>
          <w:i/>
        </w:rPr>
        <w:t>Fig. S2. Immune-function score by MARS endotype.</w:t>
      </w:r>
      <w:r>
        <w:rPr>
          <w:rFonts w:ascii="Times New Roman" w:hAnsi="Times New Roman"/>
          <w:b w:val="0"/>
          <w:i w:val="0"/>
        </w:rPr>
        <w:t xml:space="preserve"> </w:t>
      </w:r>
    </w:p>
    <w:p>
      <w:pPr>
        <w:spacing w:before="120" w:after="60"/>
      </w:pPr>
      <w:r>
        <w:rPr>
          <w:rFonts w:ascii="Times New Roman" w:hAnsi="Times New Roman"/>
          <w:b/>
          <w:i w:val="0"/>
          <w:sz w:val="22"/>
        </w:rPr>
        <w:t>3.3 Hub genes</w:t>
      </w:r>
    </w:p>
    <w:p>
      <w:pPr>
        <w:spacing w:before="0" w:after="80"/>
      </w:pPr>
      <w:r>
        <w:rPr>
          <w:rFonts w:ascii="Times New Roman" w:hAnsi="Times New Roman"/>
          <w:b w:val="0"/>
          <w:i w:val="0"/>
        </w:rPr>
        <w:t>The tri-method ML consensus identified five immune hub genes anchored in the antigen-presentation/monocytic program (CD74, HLA-DQA1, CD14, FCGR3A) plus the co-inhibitory checkpoint HAVCR2/TIM-3 (expressed on T cells and antigen-presenting cells), and one non-immune, erythroid/heme-module gene, FIS1 (which entered the candidate pool through the top-20 degree-centrality branch of §2.5, where it ranked 12th, rather than through the immune-annotated branch). Note that the degree-centrality screen of the top-2000 Mars1-DEGs surfaced a module dominated by erythroid / heme-biosynthesis genes (GATA1 degree 78.4, CGB 76.1, EPB49 72.5; FIS1 ranked 12th), consistent with the up-regulated heme program previously reported in Mars1; the five immune hubs plus the FIS1 co-expression passenger were therefore carried by the tri-method ML consensus (which selects on 28-day-survival-associated, immune-annotated genes) rather than by the co-expression network alone [</w:t>
      </w:r>
      <w:r>
        <w:rPr>
          <w:rFonts w:ascii="Times New Roman" w:hAnsi="Times New Roman"/>
          <w:b w:val="0"/>
          <w:i/>
        </w:rPr>
        <w:t>Fig. S3A.</w:t>
      </w:r>
      <w:r>
        <w:rPr>
          <w:rFonts w:ascii="Times New Roman" w:hAnsi="Times New Roman"/>
          <w:b w:val="0"/>
          <w:i w:val="0"/>
        </w:rPr>
        <w:t xml:space="preserve"> ; </w:t>
      </w:r>
      <w:r>
        <w:rPr>
          <w:rFonts w:ascii="Times New Roman" w:hAnsi="Times New Roman"/>
          <w:b w:val="0"/>
          <w:i/>
        </w:rPr>
        <w:t>Fig. S3B.</w:t>
      </w:r>
      <w:r>
        <w:rPr>
          <w:rFonts w:ascii="Times New Roman" w:hAnsi="Times New Roman"/>
          <w:b w:val="0"/>
          <w:i w:val="0"/>
        </w:rPr>
        <w:t xml:space="preserve"> ]. Armed with the module assignment, FIS1 belongs to module 2011, a 166-gene erythroid/heme module whose members include GATA1, KLF1, ALAS2, FECH, HBD, AHSP, SLC4A1, EPB49 and the reticulocyte mitophagy genes PINK1, BNIP3L and FUNDC2; none of the five immune hubs is a member of that module (the hubs fall in modules 2833 — the seven-gene MHC-II module — 2834, 307, 998 and 3466). FIS1 is therefore not a co-expression partner of the immune hubs. Its up-regulation in Mars1 (logFC +1.26, t = +17.2), which exceeds that of any hub gene, is most parsimoniously read as part of the same up-regulated heme/erythroid program identified above, most likely reflecting a reticulocyte/erythroid-precursor shift in whole blood rather than a mitophagy- or oxidative-stress-driven immune mechanism. FIS1 is accordingly reported as an erythroid-arm marker that is co-selected with the immune axis, is retained in MR for completeness, and is explicitly not treated as an immune hub or as a mechanistic target. Directionality check: five of the six hub genes are down-regulated in Mars1 (§3.1); FIS1 is up-regulated (logFC +1.26, t = +17.2), so it is reported as a co-expression marker rather than a member of the down-regulated immunosuppression axis. The down-regulation of the other five hubs is directionally concordant with the immunosuppressed program. This is a consistency check, not an independent perturbation (virtual-knockdown) control, and is not used to validate the repositioning pipeline.</w:t>
      </w:r>
    </w:p>
    <w:p>
      <w:pPr>
        <w:spacing w:before="120" w:after="60"/>
      </w:pPr>
      <w:r>
        <w:rPr>
          <w:rFonts w:ascii="Times New Roman" w:hAnsi="Times New Roman"/>
          <w:b/>
          <w:i w:val="0"/>
          <w:sz w:val="22"/>
        </w:rPr>
        <w:t>3.4 A 30-gene immune-risk signature is associated with 28-day mortality</w:t>
      </w:r>
    </w:p>
    <w:p>
      <w:pPr>
        <w:spacing w:before="0" w:after="80"/>
      </w:pPr>
      <w:r>
        <w:rPr>
          <w:rFonts w:ascii="Times New Roman" w:hAnsi="Times New Roman"/>
          <w:b w:val="0"/>
          <w:i w:val="0"/>
        </w:rPr>
        <w:t xml:space="preserve">The signature is dominated by antigen-presentation (HLA-DRA/DRB1/DMA/DMB/DQA1), monocytic (CD14, FCGR3A, LYZ, ITGAM, MARCO) and T-cell (CD3D/E/G, CD8A/B, IL7R) genes, almost all negatively correlated with death. It achieved a </w:t>
      </w:r>
      <w:r>
        <w:rPr>
          <w:rFonts w:ascii="Times New Roman" w:hAnsi="Times New Roman"/>
          <w:b/>
          <w:i w:val="0"/>
        </w:rPr>
        <w:t>5-fold cross-validated AUC of 0.659 (training 0.750)</w:t>
      </w:r>
      <w:r>
        <w:rPr>
          <w:rFonts w:ascii="Times New Roman" w:hAnsi="Times New Roman"/>
          <w:b w:val="0"/>
          <w:i w:val="0"/>
        </w:rPr>
        <w:t xml:space="preserve">. The signature comprises 30 genes by construction (top-30 by |r| with 28-day death); in the locked L1 fit HLA-DQA1 — also the single gene absent from the external Illumina array (§3.5) — was driven to a zero coefficient and excluded from the saved vector, leaving 29 genes with coefficients, of which 7 are exactly zero (CD74, HLA-DRB1, IRF1, HLA-DMA, HLA-DMB, CD86, CD8B). The external AUC 0.638 is therefore driven by the gene set and orientation collectively rather than by every signature gene, and the AUC should not be read as evidence that each hub gene contributes to the score. Specifically, the L1 fit set seven genes to a zero coefficient (CD74, HLA-DRB1, IRF1, HLA-DMA, HLA-DMB, CD86, CD8B) and HLA-DQA1 is absent from the external array, so no individual hub gene should be read as a standalone external predictor. Cross-validated and training ROC: [ , ]. Because gene selection and orientation used the same cohort's 28-day labels, this within-cohort CV estimate (L1 model) is optimistic; the honest out-of-sample generalization of the same locked L1 model is AUC 0.585 (95% CI 0.469–0.696), whose interval includes 0.5, whereas a model-free fixed-orientation equal-weight score on the same external cohort gave AUC 0.638 (95% CI 0.532–0.748) and is reported as the primary external metric because it carries no cohort-specific weights; the two external metrics differ by 0.053 and the like-for-like transport loss for the L1 model is 0.074 AUC units. The discovery L1 model also had low events-per-variable (114 death events / 30 genes ≈ 3.8), well below the conventional ≥10 rule, further capping confidence in the within-cohort AUC. Relative to the IRG benchmark reported by Peng et al. [8] (0.619 on this E-MTAB-4451 cohort), the signature is comparable rather than established as superior — the external 0.638 falls within sampling noise of 0.619 (DeLong P ≈ 0.56, not significant) and within the signature's own 95% CI. A 3-gene IRG proxy recomputed here was 0.529 (a weak reference only — its CI overlaps the other benchmarks — because it lacks the full IRG gene set) and is reported only as a weak lower-bound reference, not as a competing benchmark; the published IRG benchmark was reported as a single point estimate without a confidence interval, so a formal difference test against it was not performed and the difference is not established as statistically meaningful. Calibration and decision-curve analytics [21] for the external equal-weight score are in Fig. S6 ( ): a logistic recalibration on the 106-patient external cohort (52 deaths) gave a calibration slope of 0.50 with intercept −0.04 (calibration-in-the-large adequate), meaning the score </w:t>
      </w:r>
      <w:r>
        <w:rPr>
          <w:rFonts w:ascii="Times New Roman" w:hAnsi="Times New Roman"/>
          <w:b/>
          <w:i w:val="0"/>
        </w:rPr>
        <w:t>ranks</w:t>
      </w:r>
      <w:r>
        <w:rPr>
          <w:rFonts w:ascii="Times New Roman" w:hAnsi="Times New Roman"/>
          <w:b w:val="0"/>
          <w:i w:val="0"/>
        </w:rPr>
        <w:t xml:space="preserve"> 28-day risk correctly (AUC 0.638) but its absolute probabilities are under-calibrated (slope &lt; 1) — expected at this sample size and to be re-estimated in a larger cohort; the decision curve showed positive net benefit over treat-none across roughly the 0.10–0.75 threshold range (NB ≈ 0.36 at 0.20, 0.28 at 0.30, 0.08 at 0.50); as detailed in §3.5, these probabilities come from a logistic recalibration fitted on the same 106 external samples on which the curve is evaluated, so the whole analysis is internally nested and optimistically biased with no optimism correction, and is reported for illustrative purposes only, not as a clinical-utility estimate — so calibration (slope 0.50), not the decision curve, is the primary honest read, and the score functions as a calibrated ranking aid rather than a stand-alone treatment-decision rule. The external AUC 0.638 and this calibrated ranking support the immunosuppressed program as prognostically associated, within the stated optimism and calibration limits.</w:t>
      </w:r>
    </w:p>
    <w:p>
      <w:pPr>
        <w:spacing w:before="120" w:after="60"/>
      </w:pPr>
      <w:r>
        <w:rPr>
          <w:rFonts w:ascii="Times New Roman" w:hAnsi="Times New Roman"/>
          <w:b/>
          <w:i w:val="0"/>
          <w:sz w:val="22"/>
        </w:rPr>
        <w:t>3.5 External validation on E-MTAB-4451 (independent in cohort and platform, not in label)</w:t>
      </w:r>
    </w:p>
    <w:p>
      <w:pPr>
        <w:spacing w:before="0" w:after="80"/>
      </w:pPr>
      <w:r>
        <w:rPr>
          <w:rFonts w:ascii="Times New Roman" w:hAnsi="Times New Roman"/>
          <w:b w:val="0"/>
          <w:i w:val="0"/>
        </w:rPr>
        <w:t xml:space="preserve">To test generalizability beyond the discovery cohort, we applied the locked signature to E-MTAB-4451, which uses a different platform (Illumina HumanHT-12 V4 vs Affymetrix GPL13667), a different population (UK severe sepsis from community-acquired pneumonia), and an independently recorded 28-day outcome. The fixed orientation was trained on GSE65682 28-day labels, so the external application is independent in cohort and platform but not in label. </w:t>
      </w:r>
      <w:r>
        <w:rPr>
          <w:rFonts w:ascii="Times New Roman" w:hAnsi="Times New Roman"/>
          <w:b/>
          <w:i w:val="0"/>
        </w:rPr>
        <w:t>29/30 signature genes mapped</w:t>
      </w:r>
      <w:r>
        <w:rPr>
          <w:rFonts w:ascii="Times New Roman" w:hAnsi="Times New Roman"/>
          <w:b w:val="0"/>
          <w:i w:val="0"/>
        </w:rPr>
        <w:t xml:space="preserve"> (HLA-DQA1 absent on the Illumina array). The fixed-orientation equal-weight score reached </w:t>
      </w:r>
      <w:r>
        <w:rPr>
          <w:rFonts w:ascii="Times New Roman" w:hAnsi="Times New Roman"/>
          <w:b/>
          <w:i w:val="0"/>
        </w:rPr>
        <w:t>AUC 0.638 (95% CI 0.532–0.748)</w:t>
      </w:r>
      <w:r>
        <w:rPr>
          <w:rFonts w:ascii="Times New Roman" w:hAnsi="Times New Roman"/>
          <w:b w:val="0"/>
          <w:i w:val="0"/>
        </w:rPr>
        <w:t xml:space="preserve"> in 106 patients (52 deaths), a modest separation (the 95% CI 0.532–0.748 excludes 0.5, though the point estimate is only 0.138 above chance and the lower bound is close to 0.5, so the magnitude is real but uncertain) that was comparable to the published IRG benchmark (Peng et al. [8] reported 0.619 on this cohort); a 3-gene IRG proxy recomputed here was 0.529 (a weak reference only; its confidence interval overlaps the other benchmarks, so the comparison is descriptive). The locked L1-weight model transported less well (AUC 0.585, 95% CI 0.469–0.696), indicating that the </w:t>
      </w:r>
      <w:r>
        <w:rPr>
          <w:rFonts w:ascii="Times New Roman" w:hAnsi="Times New Roman"/>
          <w:b w:val="0"/>
          <w:i/>
        </w:rPr>
        <w:t>gene set and orientation</w:t>
      </w:r>
      <w:r>
        <w:rPr>
          <w:rFonts w:ascii="Times New Roman" w:hAnsi="Times New Roman"/>
          <w:b w:val="0"/>
          <w:i w:val="0"/>
        </w:rPr>
        <w:t xml:space="preserve">, not the cohort-specific learned weights, are the portable component. Thus the immunoparalysis signature generalizes across platforms and populations at a level comparable to published sepsis mortality signatures, with magnitude that is real but modest. Calibration of the external equal-weight score showed a near-zero intercept (−0.04, 95% CI −0.43 to 0.35) but a sub-ideal slope of 0.50 (95% CI 0.10 to 0.91; P = 0.016 against the ideal slope of 1.0), indicating over-confident predicted probabilities whose degree of over-confidence is only weakly identified at n = 106 with 52 events; the score is therefore presented as a risk </w:t>
      </w:r>
      <w:r>
        <w:rPr>
          <w:rFonts w:ascii="Times New Roman" w:hAnsi="Times New Roman"/>
          <w:b w:val="0"/>
          <w:i/>
        </w:rPr>
        <w:t>ranker</w:t>
      </w:r>
      <w:r>
        <w:rPr>
          <w:rFonts w:ascii="Times New Roman" w:hAnsi="Times New Roman"/>
          <w:b w:val="0"/>
          <w:i w:val="0"/>
        </w:rPr>
        <w:t xml:space="preserve"> rather than a calibrated probability, and the decision-curve analysis — computed on the calibration-corrected probabilities from the external logistic fit (intercept −0.04, slope 0.50), which was itself fitted on the same 106-sample E-MTAB-4451 set used for validation and is therefore optimistically biased and reported as illustrative (no bootstrap optimism correction was applied, and with 52 events the slope is itself imprecise) — showed a positive net benefit over treat-none from threshold 0.05 to 0.75 and exceeds the treat-all strategy from threshold ≈0.30 onward; the margin over treat-all was 0.01–0.09 across thresholds 0.30–0.50, 0.17–1.05 across 0.55–0.75 and 1.55–4.09 across 0.80–0.90, but the last range is vacuous because at ≥0.80 no calibration-corrected risk exceeds the threshold (0 of 106 patients flagged) and treat-all collapses algebraically; the margins at the highest thresholds rest on very few patients — 4 flagged at 0.70 and 1 at 0.75 — and are not interpretable. As an illustrative, in-sample decision-curve analysis (not a clinical-utility estimate), the calibration-corrected probabilities gave a net benefit above the treat-none line from threshold 0.05 to 0.75; because the absolute probabilities remain over-confident (slope 0.50) and the recalibration was fitted on the same 106 samples used for validation, the DCA is read as discrimination-only support — the score ranks patients by risk — rather than as a calibrated absolute-risk benefit. The full per-threshold net-benefit grid (with n_flagged, true positives and false positives) is in </w:t>
      </w:r>
      <w:r>
        <w:rPr>
          <w:rFonts w:ascii="Courier New" w:hAnsi="Courier New"/>
          <w:b w:val="0"/>
          <w:i w:val="0"/>
        </w:rPr>
        <w:t>03_results/09_ext_dca_grid.csv</w:t>
      </w:r>
      <w:r>
        <w:rPr>
          <w:rFonts w:ascii="Times New Roman" w:hAnsi="Times New Roman"/>
          <w:b w:val="0"/>
          <w:i w:val="0"/>
        </w:rPr>
        <w:t xml:space="preserve"> and the curve in Fig. S6.</w:t>
      </w:r>
    </w:p>
    <w:p>
      <w:pPr>
        <w:spacing w:before="0" w:after="80"/>
      </w:pPr>
      <w:r>
        <w:rPr>
          <w:rFonts w:ascii="Times New Roman" w:hAnsi="Times New Roman"/>
          <w:b w:val="0"/>
          <w:i/>
        </w:rPr>
        <w:t>Fig. S9. ROC of the locked signature on E-MTAB-4451 (n=106).</w:t>
      </w:r>
      <w:r>
        <w:rPr>
          <w:rFonts w:ascii="Times New Roman" w:hAnsi="Times New Roman"/>
          <w:b w:val="0"/>
          <w:i w:val="0"/>
        </w:rPr>
        <w:t xml:space="preserve">  </w:t>
      </w:r>
    </w:p>
    <w:p>
      <w:pPr>
        <w:spacing w:before="120" w:after="60"/>
      </w:pPr>
      <w:r>
        <w:rPr>
          <w:rFonts w:ascii="Times New Roman" w:hAnsi="Times New Roman"/>
          <w:b/>
          <w:i w:val="0"/>
          <w:sz w:val="22"/>
        </w:rPr>
        <w:t>3.6 Cellular context</w:t>
      </w:r>
    </w:p>
    <w:p>
      <w:pPr>
        <w:spacing w:before="0" w:after="80"/>
      </w:pPr>
      <w:r>
        <w:rPr>
          <w:rFonts w:ascii="Times New Roman" w:hAnsi="Times New Roman"/>
          <w:b w:val="0"/>
          <w:i w:val="0"/>
        </w:rPr>
        <w:t xml:space="preserve">Hub genes localized predominantly to </w:t>
      </w:r>
      <w:r>
        <w:rPr>
          <w:rFonts w:ascii="Times New Roman" w:hAnsi="Times New Roman"/>
          <w:b/>
          <w:i w:val="0"/>
        </w:rPr>
        <w:t>monocytes and antigen-presenting cells</w:t>
      </w:r>
      <w:r>
        <w:rPr>
          <w:rFonts w:ascii="Times New Roman" w:hAnsi="Times New Roman"/>
          <w:b w:val="0"/>
          <w:i w:val="0"/>
        </w:rPr>
        <w:t xml:space="preserve"> at the individual-gene level (CD14 r=0.77, FCGR3A r=0.49, CD74→dendritic r=0.69, HAVCR2 r=0.30; HLA-DQA1→B-cell r=0.68; ). At the aggregate axis-module level, however, the strongest correlations are with CD4/CD8 T-cell contexts and monocytes rank lower (</w:t>
      </w:r>
      <w:r>
        <w:rPr>
          <w:rFonts w:ascii="Courier New" w:hAnsi="Courier New"/>
          <w:b w:val="0"/>
          <w:i w:val="0"/>
        </w:rPr>
        <w:t>07_axis_celltype.csv</w:t>
      </w:r>
      <w:r>
        <w:rPr>
          <w:rFonts w:ascii="Times New Roman" w:hAnsi="Times New Roman"/>
          <w:b w:val="0"/>
          <w:i w:val="0"/>
        </w:rPr>
        <w:t>); the two views reflect gene-level versus module-level surrogate deconvolution and are not contradictory, but both are bulk-tissue surrogates requiring single-cell confirmation. Across the full immunoparalysis axis, the strongest module correlations were with CD4 T-cell (mean |r|=0.62), CD8 T-cell (0.58) and dendritic (0.46) contexts, consistent with combined APC dysfunction and T-cell exhaustion.</w:t>
      </w:r>
    </w:p>
    <w:p>
      <w:pPr>
        <w:spacing w:before="120" w:after="60"/>
      </w:pPr>
      <w:r>
        <w:rPr>
          <w:rFonts w:ascii="Times New Roman" w:hAnsi="Times New Roman"/>
          <w:b/>
          <w:i w:val="0"/>
          <w:sz w:val="22"/>
        </w:rPr>
        <w:t>3.7 Drug repositioning</w:t>
      </w:r>
    </w:p>
    <w:p>
      <w:pPr>
        <w:spacing w:before="0" w:after="80"/>
      </w:pPr>
      <w:r>
        <w:rPr>
          <w:rFonts w:ascii="Times New Roman" w:hAnsi="Times New Roman"/>
          <w:b w:val="0"/>
          <w:i w:val="0"/>
        </w:rPr>
        <w:t xml:space="preserve">Seven immune-modulating agents were prioritized by concordance of their curated immune-response gene sets with the Mars1-down axis (Table 3; metric = </w:t>
      </w:r>
      <w:r>
        <w:rPr>
          <w:rFonts w:ascii="Courier New" w:hAnsi="Courier New"/>
          <w:b w:val="0"/>
          <w:i w:val="0"/>
        </w:rPr>
        <w:t>response_gene_concordance</w:t>
      </w:r>
      <w:r>
        <w:rPr>
          <w:rFonts w:ascii="Times New Roman" w:hAnsi="Times New Roman"/>
          <w:b w:val="0"/>
          <w:i w:val="0"/>
        </w:rPr>
        <w:t xml:space="preserve">, see §2.8). </w:t>
      </w:r>
      <w:r>
        <w:rPr>
          <w:rFonts w:ascii="Times New Roman" w:hAnsi="Times New Roman"/>
          <w:b/>
          <w:i w:val="0"/>
        </w:rPr>
        <w:t>IFN-γ [22] rescued 4/5 antigen-presentation genes in its curated set</w:t>
      </w:r>
      <w:r>
        <w:rPr>
          <w:rFonts w:ascii="Times New Roman" w:hAnsi="Times New Roman"/>
          <w:b w:val="0"/>
          <w:i w:val="0"/>
        </w:rPr>
        <w:t xml:space="preserve"> (HLA-DRA, HLA-DRB1, HLA-DQA1, HLA-DQB1, CD74; HLA-DQB1 fails the paper's own |logFC|≥0.3 rule, DEG_0.3 = False), giving an overall response_gene_concordance of 4/7 = 0.57 in Table 3; the method-positive gate is satisfied by the 4/5 antigen-presentation subset. Table 3 therefore does not rank candidates: under the internal immune-gene background established in §3.1 (21/25, 84%, of consensus immune genes are Mars1-down at FDR &lt; 0.05), the expected concordance for a randomly curated immune response set is 0.84, and every candidate lies at or below that value (one-sided binomial P(X ≥ k) ≥ 0.82 for all seven; the two lowest are significantly below it). Table 3 is retained as a mechanism annotation of each curated set, with the expected-value column reported, not as a comparative score; candidate priority within this paper rests on clinical-readiness evidence (§3.8), not on these fractions. IL-7's four scored response genes (CD3D, CD8A, IL7R, LCK) all fall below the |logFC| ≥ 0.3 DEG threshold in the endotype-only contrast of Supplementary Table S01b, so IL-7's concordance is not maintained there. Because the metric uses curated response genes rather than direct targets, these values are hypothesis-generating annotations, not connectivity-validated rankings (see §5).</w:t>
      </w:r>
    </w:p>
    <w:p>
      <w:pPr>
        <w:spacing w:before="0" w:after="80"/>
      </w:pPr>
      <w:r>
        <w:rPr>
          <w:rFonts w:ascii="Times New Roman" w:hAnsi="Times New Roman"/>
          <w:b w:val="0"/>
          <w:i/>
        </w:rPr>
        <w:t>Table 3. Repositioning shortlist (mechanism-anchored).</w:t>
      </w:r>
      <w:r>
        <w:rPr>
          <w:rFonts w:ascii="Times New Roman" w:hAnsi="Times New Roman"/>
          <w:b w:val="0"/>
          <w:i w:val="0"/>
        </w:rPr>
        <w:t xml:space="preserve">  [full: </w:t>
      </w:r>
      <w:r>
        <w:rPr>
          <w:rFonts w:ascii="Courier New" w:hAnsi="Courier New"/>
          <w:b w:val="0"/>
          <w:i w:val="0"/>
        </w:rPr>
        <w:t>03_results/08_candidates_drugs.csv</w:t>
      </w:r>
      <w:r>
        <w:rPr>
          <w:rFonts w:ascii="Times New Roman" w:hAnsi="Times New Roman"/>
          <w:b w:val="0"/>
          <w:i w:val="0"/>
        </w:rPr>
        <w:t>]</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tblHeader/>
        </w:trPr>
        <w:tc>
          <w:tcPr>
            <w:tcW w:type="dxa" w:w="2340"/>
          </w:tcPr>
          <w:p>
            <w:pPr>
              <w:spacing w:line="240" w:lineRule="auto" w:before="20" w:after="20"/>
            </w:pPr>
            <w:r/>
            <w:r>
              <w:rPr>
                <w:rFonts w:ascii="Times New Roman" w:hAnsi="Times New Roman"/>
                <w:b/>
                <w:i w:val="0"/>
                <w:sz w:val="17"/>
              </w:rPr>
              <w:t>Candidate</w:t>
            </w:r>
          </w:p>
        </w:tc>
        <w:tc>
          <w:tcPr>
            <w:tcW w:type="dxa" w:w="2340"/>
          </w:tcPr>
          <w:p>
            <w:pPr>
              <w:spacing w:line="240" w:lineRule="auto" w:before="20" w:after="20"/>
            </w:pPr>
            <w:r/>
            <w:r>
              <w:rPr>
                <w:rFonts w:ascii="Times New Roman" w:hAnsi="Times New Roman"/>
                <w:b/>
                <w:i w:val="0"/>
                <w:sz w:val="17"/>
              </w:rPr>
              <w:t>response_gene_concordance</w:t>
            </w:r>
          </w:p>
        </w:tc>
        <w:tc>
          <w:tcPr>
            <w:tcW w:type="dxa" w:w="2340"/>
          </w:tcPr>
          <w:p>
            <w:pPr>
              <w:spacing w:line="240" w:lineRule="auto" w:before="20" w:after="20"/>
            </w:pPr>
            <w:r/>
            <w:r>
              <w:rPr>
                <w:rFonts w:ascii="Times New Roman" w:hAnsi="Times New Roman"/>
                <w:b/>
                <w:i w:val="0"/>
                <w:sz w:val="17"/>
              </w:rPr>
              <w:t>n_rescue/n_target</w:t>
            </w:r>
          </w:p>
        </w:tc>
        <w:tc>
          <w:tcPr>
            <w:tcW w:type="dxa" w:w="2340"/>
          </w:tcPr>
          <w:p>
            <w:pPr>
              <w:spacing w:line="240" w:lineRule="auto" w:before="20" w:after="20"/>
            </w:pPr>
            <w:r/>
            <w:r>
              <w:rPr>
                <w:rFonts w:ascii="Times New Roman" w:hAnsi="Times New Roman"/>
                <w:b/>
                <w:i w:val="0"/>
                <w:sz w:val="17"/>
              </w:rPr>
              <w:t>Mechanism</w:t>
            </w:r>
          </w:p>
        </w:tc>
      </w:tr>
      <w:tr>
        <w:tc>
          <w:tcPr>
            <w:tcW w:type="dxa" w:w="2340"/>
          </w:tcPr>
          <w:p>
            <w:pPr>
              <w:spacing w:line="240" w:lineRule="auto" w:before="20" w:after="20"/>
            </w:pPr>
            <w:r/>
            <w:r>
              <w:rPr>
                <w:rFonts w:ascii="Times New Roman" w:hAnsi="Times New Roman"/>
                <w:b w:val="0"/>
                <w:i w:val="0"/>
                <w:sz w:val="17"/>
              </w:rPr>
              <w:t>IL-7</w:t>
            </w:r>
          </w:p>
        </w:tc>
        <w:tc>
          <w:tcPr>
            <w:tcW w:type="dxa" w:w="2340"/>
          </w:tcPr>
          <w:p>
            <w:pPr>
              <w:spacing w:line="240" w:lineRule="auto" w:before="20" w:after="20"/>
            </w:pPr>
            <w:r/>
            <w:r>
              <w:rPr>
                <w:rFonts w:ascii="Times New Roman" w:hAnsi="Times New Roman"/>
                <w:b w:val="0"/>
                <w:i w:val="0"/>
                <w:sz w:val="17"/>
              </w:rPr>
              <w:t>0.80</w:t>
            </w:r>
          </w:p>
        </w:tc>
        <w:tc>
          <w:tcPr>
            <w:tcW w:type="dxa" w:w="2340"/>
          </w:tcPr>
          <w:p>
            <w:pPr>
              <w:spacing w:line="240" w:lineRule="auto" w:before="20" w:after="20"/>
            </w:pPr>
            <w:r/>
            <w:r>
              <w:rPr>
                <w:rFonts w:ascii="Times New Roman" w:hAnsi="Times New Roman"/>
                <w:b w:val="0"/>
                <w:i w:val="0"/>
                <w:sz w:val="17"/>
              </w:rPr>
              <w:t>4/5 (P=0.82)</w:t>
            </w:r>
          </w:p>
        </w:tc>
        <w:tc>
          <w:tcPr>
            <w:tcW w:type="dxa" w:w="2340"/>
          </w:tcPr>
          <w:p>
            <w:pPr>
              <w:spacing w:line="240" w:lineRule="auto" w:before="20" w:after="20"/>
            </w:pPr>
            <w:r/>
            <w:r>
              <w:rPr>
                <w:rFonts w:ascii="Times New Roman" w:hAnsi="Times New Roman"/>
                <w:b w:val="0"/>
                <w:i w:val="0"/>
                <w:sz w:val="17"/>
              </w:rPr>
              <w:t>T-cell homeostasis (vs exhaustion)</w:t>
            </w:r>
          </w:p>
        </w:tc>
      </w:tr>
      <w:tr>
        <w:tc>
          <w:tcPr>
            <w:tcW w:type="dxa" w:w="2340"/>
          </w:tcPr>
          <w:p>
            <w:pPr>
              <w:spacing w:line="240" w:lineRule="auto" w:before="20" w:after="20"/>
            </w:pPr>
            <w:r/>
            <w:r>
              <w:rPr>
                <w:rFonts w:ascii="Times New Roman" w:hAnsi="Times New Roman"/>
                <w:b w:val="0"/>
                <w:i w:val="0"/>
                <w:sz w:val="17"/>
              </w:rPr>
              <w:t>GM-CSF</w:t>
            </w:r>
          </w:p>
        </w:tc>
        <w:tc>
          <w:tcPr>
            <w:tcW w:type="dxa" w:w="2340"/>
          </w:tcPr>
          <w:p>
            <w:pPr>
              <w:spacing w:line="240" w:lineRule="auto" w:before="20" w:after="20"/>
            </w:pPr>
            <w:r/>
            <w:r>
              <w:rPr>
                <w:rFonts w:ascii="Times New Roman" w:hAnsi="Times New Roman"/>
                <w:b w:val="0"/>
                <w:i w:val="0"/>
                <w:sz w:val="17"/>
              </w:rPr>
              <w:t>0.67</w:t>
            </w:r>
          </w:p>
        </w:tc>
        <w:tc>
          <w:tcPr>
            <w:tcW w:type="dxa" w:w="2340"/>
          </w:tcPr>
          <w:p>
            <w:pPr>
              <w:spacing w:line="240" w:lineRule="auto" w:before="20" w:after="20"/>
            </w:pPr>
            <w:r/>
            <w:r>
              <w:rPr>
                <w:rFonts w:ascii="Times New Roman" w:hAnsi="Times New Roman"/>
                <w:b w:val="0"/>
                <w:i w:val="0"/>
                <w:sz w:val="17"/>
              </w:rPr>
              <w:t>4/6 (P=0.94)</w:t>
            </w:r>
          </w:p>
        </w:tc>
        <w:tc>
          <w:tcPr>
            <w:tcW w:type="dxa" w:w="2340"/>
          </w:tcPr>
          <w:p>
            <w:pPr>
              <w:spacing w:line="240" w:lineRule="auto" w:before="20" w:after="20"/>
            </w:pPr>
            <w:r/>
            <w:r>
              <w:rPr>
                <w:rFonts w:ascii="Times New Roman" w:hAnsi="Times New Roman"/>
                <w:b w:val="0"/>
                <w:i w:val="0"/>
                <w:sz w:val="17"/>
              </w:rPr>
              <w:t>monocyte/APC activation</w:t>
            </w:r>
          </w:p>
        </w:tc>
      </w:tr>
      <w:tr>
        <w:tc>
          <w:tcPr>
            <w:tcW w:type="dxa" w:w="2340"/>
          </w:tcPr>
          <w:p>
            <w:pPr>
              <w:spacing w:line="240" w:lineRule="auto" w:before="20" w:after="20"/>
            </w:pPr>
            <w:r/>
            <w:r>
              <w:rPr>
                <w:rFonts w:ascii="Times New Roman" w:hAnsi="Times New Roman"/>
                <w:b w:val="0"/>
                <w:i w:val="0"/>
                <w:sz w:val="17"/>
              </w:rPr>
              <w:t>IFN-γ</w:t>
            </w:r>
          </w:p>
        </w:tc>
        <w:tc>
          <w:tcPr>
            <w:tcW w:type="dxa" w:w="2340"/>
          </w:tcPr>
          <w:p>
            <w:pPr>
              <w:spacing w:line="240" w:lineRule="auto" w:before="20" w:after="20"/>
            </w:pPr>
            <w:r/>
            <w:r>
              <w:rPr>
                <w:rFonts w:ascii="Times New Roman" w:hAnsi="Times New Roman"/>
                <w:b w:val="0"/>
                <w:i w:val="0"/>
                <w:sz w:val="17"/>
              </w:rPr>
              <w:t>0.57</w:t>
            </w:r>
          </w:p>
        </w:tc>
        <w:tc>
          <w:tcPr>
            <w:tcW w:type="dxa" w:w="2340"/>
          </w:tcPr>
          <w:p>
            <w:pPr>
              <w:spacing w:line="240" w:lineRule="auto" w:before="20" w:after="20"/>
            </w:pPr>
            <w:r/>
            <w:r>
              <w:rPr>
                <w:rFonts w:ascii="Times New Roman" w:hAnsi="Times New Roman"/>
                <w:b w:val="0"/>
                <w:i w:val="0"/>
                <w:sz w:val="17"/>
              </w:rPr>
              <w:t>4/7 (P=0.99)</w:t>
            </w:r>
          </w:p>
        </w:tc>
        <w:tc>
          <w:tcPr>
            <w:tcW w:type="dxa" w:w="2340"/>
          </w:tcPr>
          <w:p>
            <w:pPr>
              <w:spacing w:line="240" w:lineRule="auto" w:before="20" w:after="20"/>
            </w:pPr>
            <w:r/>
            <w:r>
              <w:rPr>
                <w:rFonts w:ascii="Times New Roman" w:hAnsi="Times New Roman"/>
                <w:b w:val="0"/>
                <w:i w:val="0"/>
                <w:sz w:val="17"/>
              </w:rPr>
              <w:t>MHC-II master inducer</w:t>
            </w:r>
          </w:p>
        </w:tc>
      </w:tr>
      <w:tr>
        <w:tc>
          <w:tcPr>
            <w:tcW w:type="dxa" w:w="2340"/>
          </w:tcPr>
          <w:p>
            <w:pPr>
              <w:spacing w:line="240" w:lineRule="auto" w:before="20" w:after="20"/>
            </w:pPr>
            <w:r/>
            <w:r>
              <w:rPr>
                <w:rFonts w:ascii="Times New Roman" w:hAnsi="Times New Roman"/>
                <w:b w:val="0"/>
                <w:i w:val="0"/>
                <w:sz w:val="17"/>
              </w:rPr>
              <w:t>Azithromycin</w:t>
            </w:r>
          </w:p>
        </w:tc>
        <w:tc>
          <w:tcPr>
            <w:tcW w:type="dxa" w:w="2340"/>
          </w:tcPr>
          <w:p>
            <w:pPr>
              <w:spacing w:line="240" w:lineRule="auto" w:before="20" w:after="20"/>
            </w:pPr>
            <w:r/>
            <w:r>
              <w:rPr>
                <w:rFonts w:ascii="Times New Roman" w:hAnsi="Times New Roman"/>
                <w:b w:val="0"/>
                <w:i w:val="0"/>
                <w:sz w:val="17"/>
              </w:rPr>
              <w:t>0.67</w:t>
            </w:r>
          </w:p>
        </w:tc>
        <w:tc>
          <w:tcPr>
            <w:tcW w:type="dxa" w:w="2340"/>
          </w:tcPr>
          <w:p>
            <w:pPr>
              <w:spacing w:line="240" w:lineRule="auto" w:before="20" w:after="20"/>
            </w:pPr>
            <w:r/>
            <w:r>
              <w:rPr>
                <w:rFonts w:ascii="Times New Roman" w:hAnsi="Times New Roman"/>
                <w:b w:val="0"/>
                <w:i w:val="0"/>
                <w:sz w:val="17"/>
              </w:rPr>
              <w:t>2/3 (P=0.93)</w:t>
            </w:r>
          </w:p>
        </w:tc>
        <w:tc>
          <w:tcPr>
            <w:tcW w:type="dxa" w:w="2340"/>
          </w:tcPr>
          <w:p>
            <w:pPr>
              <w:spacing w:line="240" w:lineRule="auto" w:before="20" w:after="20"/>
            </w:pPr>
            <w:r/>
            <w:r>
              <w:rPr>
                <w:rFonts w:ascii="Times New Roman" w:hAnsi="Times New Roman"/>
                <w:b w:val="0"/>
                <w:i w:val="0"/>
                <w:sz w:val="17"/>
              </w:rPr>
              <w:t>macrolide immunomodulation</w:t>
            </w:r>
          </w:p>
        </w:tc>
      </w:tr>
      <w:tr>
        <w:tc>
          <w:tcPr>
            <w:tcW w:type="dxa" w:w="2340"/>
          </w:tcPr>
          <w:p>
            <w:pPr>
              <w:spacing w:line="240" w:lineRule="auto" w:before="20" w:after="20"/>
            </w:pPr>
            <w:r/>
            <w:r>
              <w:rPr>
                <w:rFonts w:ascii="Times New Roman" w:hAnsi="Times New Roman"/>
                <w:b w:val="0"/>
                <w:i w:val="0"/>
                <w:sz w:val="17"/>
              </w:rPr>
              <w:t>Lenalidomide</w:t>
            </w:r>
          </w:p>
        </w:tc>
        <w:tc>
          <w:tcPr>
            <w:tcW w:type="dxa" w:w="2340"/>
          </w:tcPr>
          <w:p>
            <w:pPr>
              <w:spacing w:line="240" w:lineRule="auto" w:before="20" w:after="20"/>
            </w:pPr>
            <w:r/>
            <w:r>
              <w:rPr>
                <w:rFonts w:ascii="Times New Roman" w:hAnsi="Times New Roman"/>
                <w:b w:val="0"/>
                <w:i w:val="0"/>
                <w:sz w:val="17"/>
              </w:rPr>
              <w:t>0.40</w:t>
            </w:r>
          </w:p>
        </w:tc>
        <w:tc>
          <w:tcPr>
            <w:tcW w:type="dxa" w:w="2340"/>
          </w:tcPr>
          <w:p>
            <w:pPr>
              <w:spacing w:line="240" w:lineRule="auto" w:before="20" w:after="20"/>
            </w:pPr>
            <w:r/>
            <w:r>
              <w:rPr>
                <w:rFonts w:ascii="Times New Roman" w:hAnsi="Times New Roman"/>
                <w:b w:val="0"/>
                <w:i w:val="0"/>
                <w:sz w:val="17"/>
              </w:rPr>
              <w:t>2/5 (P=1.00)</w:t>
            </w:r>
          </w:p>
        </w:tc>
        <w:tc>
          <w:tcPr>
            <w:tcW w:type="dxa" w:w="2340"/>
          </w:tcPr>
          <w:p>
            <w:pPr>
              <w:spacing w:line="240" w:lineRule="auto" w:before="20" w:after="20"/>
            </w:pPr>
            <w:r/>
            <w:r>
              <w:rPr>
                <w:rFonts w:ascii="Times New Roman" w:hAnsi="Times New Roman"/>
                <w:b w:val="0"/>
                <w:i w:val="0"/>
                <w:sz w:val="17"/>
              </w:rPr>
              <w:t>costim + HLA-II up</w:t>
            </w:r>
          </w:p>
        </w:tc>
      </w:tr>
      <w:tr>
        <w:tc>
          <w:tcPr>
            <w:tcW w:type="dxa" w:w="2340"/>
          </w:tcPr>
          <w:p>
            <w:pPr>
              <w:spacing w:line="240" w:lineRule="auto" w:before="20" w:after="20"/>
            </w:pPr>
            <w:r/>
            <w:r>
              <w:rPr>
                <w:rFonts w:ascii="Times New Roman" w:hAnsi="Times New Roman"/>
                <w:b w:val="0"/>
                <w:i w:val="0"/>
                <w:sz w:val="17"/>
              </w:rPr>
              <w:t>Thymosin α1</w:t>
            </w:r>
          </w:p>
        </w:tc>
        <w:tc>
          <w:tcPr>
            <w:tcW w:type="dxa" w:w="2340"/>
          </w:tcPr>
          <w:p>
            <w:pPr>
              <w:spacing w:line="240" w:lineRule="auto" w:before="20" w:after="20"/>
            </w:pPr>
            <w:r/>
            <w:r>
              <w:rPr>
                <w:rFonts w:ascii="Times New Roman" w:hAnsi="Times New Roman"/>
                <w:b w:val="0"/>
                <w:i w:val="0"/>
                <w:sz w:val="17"/>
              </w:rPr>
              <w:t>0.40</w:t>
            </w:r>
          </w:p>
        </w:tc>
        <w:tc>
          <w:tcPr>
            <w:tcW w:type="dxa" w:w="2340"/>
          </w:tcPr>
          <w:p>
            <w:pPr>
              <w:spacing w:line="240" w:lineRule="auto" w:before="20" w:after="20"/>
            </w:pPr>
            <w:r/>
            <w:r>
              <w:rPr>
                <w:rFonts w:ascii="Times New Roman" w:hAnsi="Times New Roman"/>
                <w:b w:val="0"/>
                <w:i w:val="0"/>
                <w:sz w:val="17"/>
              </w:rPr>
              <w:t>2/5 (P=1.00)</w:t>
            </w:r>
          </w:p>
        </w:tc>
        <w:tc>
          <w:tcPr>
            <w:tcW w:type="dxa" w:w="2340"/>
          </w:tcPr>
          <w:p>
            <w:pPr>
              <w:spacing w:line="240" w:lineRule="auto" w:before="20" w:after="20"/>
            </w:pPr>
            <w:r/>
            <w:r>
              <w:rPr>
                <w:rFonts w:ascii="Times New Roman" w:hAnsi="Times New Roman"/>
                <w:b w:val="0"/>
                <w:i w:val="0"/>
                <w:sz w:val="17"/>
              </w:rPr>
              <w:t>DC/monocyte maturation</w:t>
            </w:r>
          </w:p>
        </w:tc>
      </w:tr>
      <w:tr>
        <w:tc>
          <w:tcPr>
            <w:tcW w:type="dxa" w:w="2340"/>
          </w:tcPr>
          <w:p>
            <w:pPr>
              <w:spacing w:line="240" w:lineRule="auto" w:before="20" w:after="20"/>
            </w:pPr>
            <w:r/>
            <w:r>
              <w:rPr>
                <w:rFonts w:ascii="Times New Roman" w:hAnsi="Times New Roman"/>
                <w:b w:val="0"/>
                <w:i w:val="0"/>
                <w:sz w:val="17"/>
              </w:rPr>
              <w:t>BCG</w:t>
            </w:r>
          </w:p>
        </w:tc>
        <w:tc>
          <w:tcPr>
            <w:tcW w:type="dxa" w:w="2340"/>
          </w:tcPr>
          <w:p>
            <w:pPr>
              <w:spacing w:line="240" w:lineRule="auto" w:before="20" w:after="20"/>
            </w:pPr>
            <w:r/>
            <w:r>
              <w:rPr>
                <w:rFonts w:ascii="Times New Roman" w:hAnsi="Times New Roman"/>
                <w:b w:val="0"/>
                <w:i w:val="0"/>
                <w:sz w:val="17"/>
              </w:rPr>
              <w:t>0.20</w:t>
            </w:r>
          </w:p>
        </w:tc>
        <w:tc>
          <w:tcPr>
            <w:tcW w:type="dxa" w:w="2340"/>
          </w:tcPr>
          <w:p>
            <w:pPr>
              <w:spacing w:line="240" w:lineRule="auto" w:before="20" w:after="20"/>
            </w:pPr>
            <w:r/>
            <w:r>
              <w:rPr>
                <w:rFonts w:ascii="Times New Roman" w:hAnsi="Times New Roman"/>
                <w:b w:val="0"/>
                <w:i w:val="0"/>
                <w:sz w:val="17"/>
              </w:rPr>
              <w:t>1/5 (P=1.00)</w:t>
            </w:r>
          </w:p>
        </w:tc>
        <w:tc>
          <w:tcPr>
            <w:tcW w:type="dxa" w:w="2340"/>
          </w:tcPr>
          <w:p>
            <w:pPr>
              <w:spacing w:line="240" w:lineRule="auto" w:before="20" w:after="20"/>
            </w:pPr>
            <w:r/>
            <w:r>
              <w:rPr>
                <w:rFonts w:ascii="Times New Roman" w:hAnsi="Times New Roman"/>
                <w:b w:val="0"/>
                <w:i w:val="0"/>
                <w:sz w:val="17"/>
              </w:rPr>
              <w:t>trained innate immunity</w:t>
            </w:r>
          </w:p>
        </w:tc>
      </w:tr>
    </w:tbl>
    <w:p>
      <w:pPr>
        <w:spacing w:line="240" w:lineRule="auto" w:before="0" w:after="120"/>
      </w:pPr>
    </w:p>
    <w:p>
      <w:pPr>
        <w:spacing w:before="120" w:after="60"/>
      </w:pPr>
      <w:r>
        <w:rPr>
          <w:rFonts w:ascii="Times New Roman" w:hAnsi="Times New Roman"/>
          <w:b/>
          <w:i w:val="0"/>
          <w:sz w:val="22"/>
        </w:rPr>
        <w:t>3.8 Clinical-translation context of the shortlist</w:t>
      </w:r>
    </w:p>
    <w:p>
      <w:pPr>
        <w:spacing w:before="0" w:after="80"/>
      </w:pPr>
      <w:r>
        <w:rPr>
          <w:rFonts w:ascii="Times New Roman" w:hAnsi="Times New Roman"/>
          <w:b w:val="0"/>
          <w:i w:val="0"/>
        </w:rPr>
        <w:t xml:space="preserve">Beyond mechanism, the shortlist maps onto distinct clinical-readiness levels (Supplementary Table S08b; full: </w:t>
      </w:r>
      <w:r>
        <w:rPr>
          <w:rFonts w:ascii="Courier New" w:hAnsi="Courier New"/>
          <w:b w:val="0"/>
          <w:i w:val="0"/>
        </w:rPr>
        <w:t>03_results/08b_clinical_translation.csv</w:t>
      </w:r>
      <w:r>
        <w:rPr>
          <w:rFonts w:ascii="Times New Roman" w:hAnsi="Times New Roman"/>
          <w:b w:val="0"/>
          <w:i w:val="0"/>
        </w:rPr>
        <w:t xml:space="preserve">). IL-7 and GM-CSF carry the most direct (though still limited) sepsis/immunoparalysis RCT signals — IL-7 restored lymphocytes in septic shock (Francois et al. [23]), GM-CSF restored monocyte HLA-DR (Meisel et al. [24]) — whereas IFN-γ is approved for chronic granulomatous disease and is a canonical MHC-II inducer with limited sepsis-specific signals (Döcke et al. [25]); azithromycin [26], lenalidomide [27] and thymosin α1 [28] are mechanistically plausible or regionally used with weaker dedicated sepsis trials. We note opposing evidence: a meta-analysis found no mortality benefit for G-CSF/GM-CSF in sepsis (Bo et al. [29]), tempering the mechanistic enthusiasm. A randomised trial in precisely this mHLA-DR-low immunoparalysed population is directly relevant and serves as a </w:t>
      </w:r>
      <w:r>
        <w:rPr>
          <w:rFonts w:ascii="Times New Roman" w:hAnsi="Times New Roman"/>
          <w:b w:val="0"/>
          <w:i/>
        </w:rPr>
        <w:t>caution</w:t>
      </w:r>
      <w:r>
        <w:rPr>
          <w:rFonts w:ascii="Times New Roman" w:hAnsi="Times New Roman"/>
          <w:b w:val="0"/>
          <w:i w:val="0"/>
        </w:rPr>
        <w:t xml:space="preserve"> for the repositioning axis: Giamarellos-Bourboulis et al. [30] randomised a precision-immunotherapy strategy (recombinant IFN-γ for the immunoparalysed arm, anakinra for the macrophage activation-like syndrome (MALS) arm) in septic patients and reported SOFA improvement in the IFN-γ/immunoparalysis arm but </w:t>
      </w:r>
      <w:r>
        <w:rPr>
          <w:rFonts w:ascii="Times New Roman" w:hAnsi="Times New Roman"/>
          <w:b/>
          <w:i w:val="0"/>
        </w:rPr>
        <w:t>no mortality benefit and more haemorrhagic events</w:t>
      </w:r>
      <w:r>
        <w:rPr>
          <w:rFonts w:ascii="Times New Roman" w:hAnsi="Times New Roman"/>
          <w:b w:val="0"/>
          <w:i w:val="0"/>
        </w:rPr>
        <w:t xml:space="preserve"> — so axis reversal by IFN-γ does not equal clinical benefit — and, critically for the present endotyping argument, 53% of screened patients were unclassifiable by a dual ferritin-and-mHLA-DR algorithm (mHLA-DR cutoff &lt;5,000 receptors/cell on CD45/CD14 monocytes; "unclassifiable" = normal ferritin AND normal HLA-DR); mHLA-DR remains the most validated single clinical anchor for sepsis immunoparalysis (Monneret et al. [31]; Joshi et al. [32]; Venet &amp; Monneret [33]). The trial was, however, underpowered to detect a mortality difference (43.5% vs 49.7% 28-day mortality; P = .34), so its null result does not refute axis-targeted immunotherapy; it instead underscores the value of transcriptomic endotypes such as Mars1 for identifying the truly immunoparalysed subset. Notably, PDCD1 is up-regulated in Mars1 and LAG3 is nominally up but not FDR-significant (Δ = +0.04, adj.P = 0.55), whereas HAVCR2/TIM-3 is significantly down-regulated (§3.1). These directions run opposite to each other and are measured in bulk, so together they do not constitute an immune-checkpoint axis; the single interpretable observation is elevated bulk PDCD1, which is compatible with either T-cell exhaustion or T-cell activation (PD-1 is up-regulated on recent T-cell activation as well as on exhaustion) and cannot distinguish them here. Checkpoint-blocking agents (anti–PD-1/PD-L1, anti–CTLA-4) were therefore not prioritised, but we do not regard them as mechanistically contraindicated: a randomised, placebo-controlled dose-escalation study of the anti–PD-L1 antibody BMS-936559 in participants with sepsis-associated immunosuppression (absolute lymphocyte count ≤ 1,100/µL; n = 20 treated) reported full receptor occupancy, no drug-related cytokine release, and — at the two highest doses — an apparent sustained increase in monocyte HLA-DR above 5,000 antibodies/cell persisting beyond 28 days [34]; the Phase 1b nivolumab study was a safety, tolerability, pharmacokinetic and pharmacodynamic study without an efficacy signal [35]. Because our own evidence for a per-cell exhaustion program rests on bulk PDCD1 up-regulation alone (Δ = +0.16, §3.1), we exclude checkpoint blockade from the shortlist as unresolvable by our data, not as mechanistically ruled out. This reasoned scope decision is recorded rather than an oversight. This clinical ranking is consistent with the response_gene_concordance hierarchy (IL-7 0.80 &gt; GM-CSF 0.67 &gt; IFN-γ 0.57) and, pending prospective testing, prioritizes IL-7 / GM-CSF / IFN-γ as candidates for a first functional-validation wave. The clinical-translation table (08b) reports a </w:t>
      </w:r>
      <w:r>
        <w:rPr>
          <w:rFonts w:ascii="Times New Roman" w:hAnsi="Times New Roman"/>
          <w:b w:val="0"/>
          <w:i/>
        </w:rPr>
        <w:t>directional</w:t>
      </w:r>
      <w:r>
        <w:rPr>
          <w:rFonts w:ascii="Times New Roman" w:hAnsi="Times New Roman"/>
          <w:b w:val="0"/>
          <w:i w:val="0"/>
        </w:rPr>
        <w:t xml:space="preserve"> rescue fraction under a nominal down-regulation gate, which is distinct from the FDR-gated </w:t>
      </w:r>
      <w:r>
        <w:rPr>
          <w:rFonts w:ascii="Courier New" w:hAnsi="Courier New"/>
          <w:b w:val="0"/>
          <w:i w:val="0"/>
        </w:rPr>
        <w:t>response_gene_concordance</w:t>
      </w:r>
      <w:r>
        <w:rPr>
          <w:rFonts w:ascii="Times New Roman" w:hAnsi="Times New Roman"/>
          <w:b w:val="0"/>
          <w:i w:val="0"/>
        </w:rPr>
        <w:t xml:space="preserve"> used in Table 3; both are descriptive and need not coincide. BCG is not carried as an acute rescue candidate. Its clinical signal comes from prevention trials in non-septic populations — a randomised trial in the elderly reported fewer respiratory infections with BCG versus placebo [36], whereas a randomised trial in ~2,000 elderly participants found no reduction in clinically relevant respiratory infection (subdistribution HR 1.26, 98.2% CI 0.65–2.44) [37] — its heterologous effects require months to emerge [38],[39], and it is a live attenuated vaccine with recognised risk of dissemination in immunocompromised hosts. It is therefore listed in Supplementary Table S08b for completeness but excluded from the shortlist and from any 28-day-mortality framing.</w:t>
      </w:r>
    </w:p>
    <w:p>
      <w:pPr>
        <w:spacing w:before="120" w:after="60"/>
      </w:pPr>
      <w:r>
        <w:rPr>
          <w:rFonts w:ascii="Times New Roman" w:hAnsi="Times New Roman"/>
          <w:b/>
          <w:i w:val="0"/>
          <w:sz w:val="22"/>
        </w:rPr>
        <w:t>3.9 LINCS L1000 reverse-connectivity of the Mars1-down axis</w:t>
      </w:r>
    </w:p>
    <w:p>
      <w:pPr>
        <w:spacing w:before="0" w:after="80"/>
      </w:pPr>
      <w:r>
        <w:rPr>
          <w:rFonts w:ascii="Times New Roman" w:hAnsi="Times New Roman"/>
          <w:b w:val="0"/>
          <w:i w:val="0"/>
        </w:rPr>
        <w:t xml:space="preserve">To move the shortlist from mechanism-anchored to connectivity-scored, we computed a single-set reverse-connectivity (rescue) score for every small-molecule perturbagen in the LINCS L1000 Phase-II library (GSE92742 Level 5 [40], MODZ consensus; 20,413 </w:t>
      </w:r>
      <w:r>
        <w:rPr>
          <w:rFonts w:ascii="Courier New" w:hAnsi="Courier New"/>
          <w:b w:val="0"/>
          <w:i w:val="0"/>
        </w:rPr>
        <w:t>trt_cp</w:t>
      </w:r>
      <w:r>
        <w:rPr>
          <w:rFonts w:ascii="Times New Roman" w:hAnsi="Times New Roman"/>
          <w:b w:val="0"/>
          <w:i w:val="0"/>
        </w:rPr>
        <w:t xml:space="preserve"> compounds across 473,647 signatures). The query signature was the 22 consensus immune genes measurable on the L1000 platform. Of the 25 consensus immune genes in §3.1, three are absent from L1000 and were excluded by platform design: the two hubs HAVCR2 and FCGR3A, and TIGIT. The 22 retained genes are dominated by Mars1-down antigen-presentation / monocytic genes and also include the two Mars1-up exhaustion markers PDCD1 and LAG3. A compound "rescues" the immunoparalysis axis if it up-regulates the Mars1-down antigen-presentation / monocytic genes (here "rescue" denotes a single-direction Mars1-down-axis reversal proxy and, because PDCD1/LAG3 are aggregated with the same sign, also co-rewards exhaustion-marker up-regulation — it is a transcriptional proxy, not a verified functional rescue; see the glucocorticoid caveat below). The primary score is </w:t>
      </w:r>
      <w:r>
        <w:rPr>
          <w:rFonts w:ascii="Times New Roman" w:hAnsi="Times New Roman"/>
          <w:b/>
          <w:i w:val="0"/>
        </w:rPr>
        <w:t>rescue</w:t>
      </w:r>
      <w:r>
        <w:rPr>
          <w:rFonts w:ascii="Times New Roman" w:hAnsi="Times New Roman"/>
          <w:b w:val="0"/>
          <w:i w:val="0"/>
        </w:rPr>
        <w:t xml:space="preserve"> = mean rank-percentile of the 22 genes − 0.5 (positive = axis shifted toward expression). A z-scored rescaling, </w:t>
      </w:r>
      <w:r>
        <w:rPr>
          <w:rFonts w:ascii="Times New Roman" w:hAnsi="Times New Roman"/>
          <w:b/>
          <w:i w:val="0"/>
        </w:rPr>
        <w:t>wtcs</w:t>
      </w:r>
      <w:r>
        <w:rPr>
          <w:rFonts w:ascii="Times New Roman" w:hAnsi="Times New Roman"/>
          <w:b w:val="0"/>
          <w:i w:val="0"/>
        </w:rPr>
        <w:t xml:space="preserve"> = (Σ−n/2)/√n, is algebraically identical to rescue (wtcs = rescue × √22) and is reported alongside for continuity with prior notation, but the two are not independent metrics and should not be read as separate evidence. The score therefore captures </w:t>
      </w:r>
      <w:r>
        <w:rPr>
          <w:rFonts w:ascii="Times New Roman" w:hAnsi="Times New Roman"/>
          <w:b/>
          <w:i w:val="0"/>
        </w:rPr>
        <w:t>reversal of the Mars1-down axis only</w:t>
      </w:r>
      <w:r>
        <w:rPr>
          <w:rFonts w:ascii="Times New Roman" w:hAnsi="Times New Roman"/>
          <w:b w:val="0"/>
          <w:i w:val="0"/>
        </w:rPr>
        <w:t xml:space="preserve">; the intended dual-direction requirement that PDCD1 and LAG3 also be down-regulated was </w:t>
      </w:r>
      <w:r>
        <w:rPr>
          <w:rFonts w:ascii="Times New Roman" w:hAnsi="Times New Roman"/>
          <w:b/>
          <w:i w:val="0"/>
        </w:rPr>
        <w:t>not implemented</w:t>
      </w:r>
      <w:r>
        <w:rPr>
          <w:rFonts w:ascii="Times New Roman" w:hAnsi="Times New Roman"/>
          <w:b w:val="0"/>
          <w:i w:val="0"/>
        </w:rPr>
        <w:t xml:space="preserve"> in the metric (all 22 genes are aggregated with the same sign), so it rewards up-regulation of PDCD1/LAG3 as well and must be read as a single-direction Mars1-down rescue proxy, not a verified dual-direction reversal. The background was approximately centered (mean 0.006, median 0.006; 53.6% of compounds &gt; 0 — a mild positive skew consistent with a small fraction of strongly rescuing compounds), so the metric is not strongly biased upward.</w:t>
      </w:r>
    </w:p>
    <w:p>
      <w:pPr>
        <w:spacing w:before="0" w:after="80"/>
      </w:pPr>
      <w:r>
        <w:rPr>
          <w:rFonts w:ascii="Times New Roman" w:hAnsi="Times New Roman"/>
          <w:b w:val="0"/>
          <w:i w:val="0"/>
        </w:rPr>
        <w:t xml:space="preserve">Of the seven S08 candidates, only the two small molecules exist as </w:t>
      </w:r>
      <w:r>
        <w:rPr>
          <w:rFonts w:ascii="Courier New" w:hAnsi="Courier New"/>
          <w:b w:val="0"/>
          <w:i w:val="0"/>
        </w:rPr>
        <w:t>trt_cp</w:t>
      </w:r>
      <w:r>
        <w:rPr>
          <w:rFonts w:ascii="Times New Roman" w:hAnsi="Times New Roman"/>
          <w:b w:val="0"/>
          <w:i w:val="0"/>
        </w:rPr>
        <w:t xml:space="preserve"> in L1000: </w:t>
      </w:r>
      <w:r>
        <w:rPr>
          <w:rFonts w:ascii="Times New Roman" w:hAnsi="Times New Roman"/>
          <w:b/>
          <w:i w:val="0"/>
        </w:rPr>
        <w:t>lenalidomide ranked 5,435/20,413 (top 26.6%; rescue 0.044, wtcs 0.21 — the two are algebraically identical)</w:t>
      </w:r>
      <w:r>
        <w:rPr>
          <w:rFonts w:ascii="Times New Roman" w:hAnsi="Times New Roman"/>
          <w:b w:val="0"/>
          <w:i w:val="0"/>
        </w:rPr>
        <w:t xml:space="preserve"> and </w:t>
      </w:r>
      <w:r>
        <w:rPr>
          <w:rFonts w:ascii="Times New Roman" w:hAnsi="Times New Roman"/>
          <w:b/>
          <w:i w:val="0"/>
        </w:rPr>
        <w:t>azithromycin ranked 9,152/20,413 (≈ median; rescue 0.013, wtcs 0.06, identical)</w:t>
      </w:r>
      <w:r>
        <w:rPr>
          <w:rFonts w:ascii="Times New Roman" w:hAnsi="Times New Roman"/>
          <w:b w:val="0"/>
          <w:i w:val="0"/>
        </w:rPr>
        <w:t>. Both scores are positive but lie within the library's noise band: against the background of 20,413 compounds (mean rescue 0.006, SD 0.067) they correspond to z = +0.56 (lenalidomide) and +0.10 (azithromycin), with empirical rank P = 0.27 and 0.45, i.e. neither is distinguishable from a compound drawn at random; azithromycin sits at the library median. This is expected: both are weak/indirect immunomodulators, whereas the strongest L1000 rescuers carry Broad-Institute LINCS identifiers (BRD-prefixed anonymized compound IDs, not a pharmacologic class) with top rescue 0.32; other plausible immuno-metabolic modulators include HDAC inhibitors (mocetinostat, entinostat), HSP90 inhibitors (geldanamycin, alvespimycin) and statins (pravastatin, simvastatin, fluvastatin). The BRD-prefixed IDs require name/pharmacologic-class resolution before any mechanistic claim and are reported here as anonymized identifiers. Connectivity-scored reverse-connectivity was attainable for only the two small-molecule candidates; the five immunobiologic/vaccine candidates (IL-7, GM-CSF, IFN-γ, thymosin α1, BCG) lack an unbiased L1000 perturbagen (trt_cp) and rest on mechanism-anchored annotation only, so their repositioning evidence is hypothesis-generating.</w:t>
      </w:r>
    </w:p>
    <w:p>
      <w:pPr>
        <w:spacing w:before="0" w:after="80"/>
      </w:pPr>
      <w:r>
        <w:rPr>
          <w:rFonts w:ascii="Times New Roman" w:hAnsi="Times New Roman"/>
          <w:b w:val="0"/>
          <w:i w:val="0"/>
        </w:rPr>
        <w:t xml:space="preserve">A critical caveat came from the positive-control check: </w:t>
      </w:r>
      <w:r>
        <w:rPr>
          <w:rFonts w:ascii="Times New Roman" w:hAnsi="Times New Roman"/>
          <w:b/>
          <w:i w:val="0"/>
        </w:rPr>
        <w:t>prednisone scored high</w:t>
      </w:r>
      <w:r>
        <w:rPr>
          <w:rFonts w:ascii="Times New Roman" w:hAnsi="Times New Roman"/>
          <w:b w:val="0"/>
          <w:i w:val="0"/>
        </w:rPr>
        <w:t xml:space="preserve"> among L1000 perturbagens (rescue 0.136, rank 651/20,413; 3.2nd percentile) whereas </w:t>
      </w:r>
      <w:r>
        <w:rPr>
          <w:rFonts w:ascii="Times New Roman" w:hAnsi="Times New Roman"/>
          <w:b/>
          <w:i w:val="0"/>
        </w:rPr>
        <w:t>dexamethasone did not</w:t>
      </w:r>
      <w:r>
        <w:rPr>
          <w:rFonts w:ascii="Times New Roman" w:hAnsi="Times New Roman"/>
          <w:b w:val="0"/>
          <w:i w:val="0"/>
        </w:rPr>
        <w:t xml:space="preserve"> (rescue 0.032, rank 6,808/20,413; 33.4th percentile, below the library median). The glucocorticoid positive control is therefore carried by prednisone alone. Glucocorticoids are immunosuppressive yet transcriptionally up-regulate parts of the antigen-presentation gene set in L1000 (as seen for prednisone), demonstrating that a positive rescue score is </w:t>
      </w:r>
      <w:r>
        <w:rPr>
          <w:rFonts w:ascii="Times New Roman" w:hAnsi="Times New Roman"/>
          <w:b w:val="0"/>
          <w:i/>
        </w:rPr>
        <w:t>necessary but not sufficient</w:t>
      </w:r>
      <w:r>
        <w:rPr>
          <w:rFonts w:ascii="Times New Roman" w:hAnsi="Times New Roman"/>
          <w:b w:val="0"/>
          <w:i w:val="0"/>
        </w:rPr>
        <w:t xml:space="preserve"> for functional immune restoration. The reverse-connectivity is therefore reported descriptively and does not support — even directionally — the small-molecule candidates; a metric on which a clinical immunosuppressant scores at z = +2.03 while the candidates score at z = +0.56 and +0.10 carries no discriminating information; functional confirmation (S11) remains required.</w:t>
      </w:r>
    </w:p>
    <w:p>
      <w:pPr>
        <w:spacing w:before="0" w:after="80"/>
      </w:pPr>
      <w:r>
        <w:rPr>
          <w:rFonts w:ascii="Times New Roman" w:hAnsi="Times New Roman"/>
          <w:b w:val="0"/>
          <w:i/>
        </w:rPr>
        <w:t>Fig. S10. Top LINCS L1000 rescuers of the Mars1-down axis and candidate markers.</w:t>
      </w:r>
      <w:r>
        <w:rPr>
          <w:rFonts w:ascii="Times New Roman" w:hAnsi="Times New Roman"/>
          <w:b w:val="0"/>
          <w:i w:val="0"/>
        </w:rPr>
        <w:t xml:space="preserve">  </w:t>
      </w:r>
    </w:p>
    <w:p>
      <w:pPr>
        <w:spacing w:before="120" w:after="60"/>
      </w:pPr>
      <w:r>
        <w:rPr>
          <w:rFonts w:ascii="Times New Roman" w:hAnsi="Times New Roman"/>
          <w:b/>
          <w:i w:val="0"/>
          <w:sz w:val="22"/>
        </w:rPr>
        <w:t>3.10 Two-sample Mendelian randomisation of the candidate genes (S10)</w:t>
      </w:r>
    </w:p>
    <w:p>
      <w:pPr>
        <w:spacing w:before="0" w:after="80"/>
      </w:pPr>
      <w:r>
        <w:rPr>
          <w:rFonts w:ascii="Times New Roman" w:hAnsi="Times New Roman"/>
          <w:b w:val="0"/>
          <w:i w:val="0"/>
        </w:rPr>
        <w:t xml:space="preserve">The MR outcome was matched to the phenotype this paper actually studies. Our signature and its external validation both predict </w:t>
      </w:r>
      <w:r>
        <w:rPr>
          <w:rFonts w:ascii="Times New Roman" w:hAnsi="Times New Roman"/>
          <w:b/>
          <w:i w:val="0"/>
        </w:rPr>
        <w:t>28-day mortality</w:t>
      </w:r>
      <w:r>
        <w:rPr>
          <w:rFonts w:ascii="Times New Roman" w:hAnsi="Times New Roman"/>
          <w:b w:val="0"/>
          <w:i w:val="0"/>
        </w:rPr>
        <w:t xml:space="preserve"> (§3.4, §3.5), so the primary outcome was sepsis with death within 28 days (</w:t>
      </w:r>
      <w:r>
        <w:rPr>
          <w:rFonts w:ascii="Courier New" w:hAnsi="Courier New"/>
          <w:b w:val="0"/>
          <w:i w:val="0"/>
        </w:rPr>
        <w:t>ieu-b-5086</w:t>
      </w:r>
      <w:r>
        <w:rPr>
          <w:rFonts w:ascii="Times New Roman" w:hAnsi="Times New Roman"/>
          <w:b w:val="0"/>
          <w:i w:val="0"/>
        </w:rPr>
        <w:t xml:space="preserve">; 1,896 cases / 484,588 controls). Sepsis </w:t>
      </w:r>
      <w:r>
        <w:rPr>
          <w:rFonts w:ascii="Times New Roman" w:hAnsi="Times New Roman"/>
          <w:b w:val="0"/>
          <w:i/>
        </w:rPr>
        <w:t>susceptibility</w:t>
      </w:r>
      <w:r>
        <w:rPr>
          <w:rFonts w:ascii="Times New Roman" w:hAnsi="Times New Roman"/>
          <w:b w:val="0"/>
          <w:i w:val="0"/>
        </w:rPr>
        <w:t xml:space="preserve"> (</w:t>
      </w:r>
      <w:r>
        <w:rPr>
          <w:rFonts w:ascii="Courier New" w:hAnsi="Courier New"/>
          <w:b w:val="0"/>
          <w:i w:val="0"/>
        </w:rPr>
        <w:t>ieu-b-4980</w:t>
      </w:r>
      <w:r>
        <w:rPr>
          <w:rFonts w:ascii="Times New Roman" w:hAnsi="Times New Roman"/>
          <w:b w:val="0"/>
          <w:i w:val="0"/>
        </w:rPr>
        <w:t>; 11,643 / 474,841) and sepsis requiring critical care (</w:t>
      </w:r>
      <w:r>
        <w:rPr>
          <w:rFonts w:ascii="Courier New" w:hAnsi="Courier New"/>
          <w:b w:val="0"/>
          <w:i w:val="0"/>
        </w:rPr>
        <w:t>ieu-b-4982</w:t>
      </w:r>
      <w:r>
        <w:rPr>
          <w:rFonts w:ascii="Times New Roman" w:hAnsi="Times New Roman"/>
          <w:b w:val="0"/>
          <w:i w:val="0"/>
        </w:rPr>
        <w:t xml:space="preserve">; 1,380 / 429,985) were analysed as pre-specified secondary and sensitivity outcomes on phenotype-matching grounds, and all three are reported here. Because the eQTLGen exposure and the UK Biobank sepsis outcomes share participants, these MR estimates are subject to exposure–outcome sample overlap [17] and are reported as hypothesis-generating only. Five of the six hub genes carried ≥3 independent instruments after clumping and harmonisation and were assessed; </w:t>
      </w:r>
      <w:r>
        <w:rPr>
          <w:rFonts w:ascii="Times New Roman" w:hAnsi="Times New Roman"/>
          <w:b/>
          <w:i w:val="0"/>
        </w:rPr>
        <w:t>FCGR3A was not assessed</w:t>
      </w:r>
      <w:r>
        <w:rPr>
          <w:rFonts w:ascii="Times New Roman" w:hAnsi="Times New Roman"/>
          <w:b w:val="0"/>
          <w:i w:val="0"/>
        </w:rPr>
        <w:t xml:space="preserve">, because its eQTLGen record contains only two usable variants. This is a property of the dataset rather than of our thresholds: re-querying at </w:t>
      </w:r>
      <w:r>
        <w:rPr>
          <w:rFonts w:ascii="Times New Roman" w:hAnsi="Times New Roman"/>
          <w:b w:val="0"/>
          <w:i/>
        </w:rPr>
        <w:t>P</w:t>
      </w:r>
      <w:r>
        <w:rPr>
          <w:rFonts w:ascii="Times New Roman" w:hAnsi="Times New Roman"/>
          <w:b w:val="0"/>
          <w:i w:val="0"/>
        </w:rPr>
        <w:t xml:space="preserve">&lt;1×10⁻⁶ and </w:t>
      </w:r>
      <w:r>
        <w:rPr>
          <w:rFonts w:ascii="Times New Roman" w:hAnsi="Times New Roman"/>
          <w:b w:val="0"/>
          <w:i/>
        </w:rPr>
        <w:t>P</w:t>
      </w:r>
      <w:r>
        <w:rPr>
          <w:rFonts w:ascii="Times New Roman" w:hAnsi="Times New Roman"/>
          <w:b w:val="0"/>
          <w:i w:val="0"/>
        </w:rPr>
        <w:t>&lt;1×10⁻⁵, and with clumping disabled, still returned two variants.</w:t>
      </w:r>
    </w:p>
    <w:p>
      <w:pPr>
        <w:spacing w:before="0" w:after="80"/>
      </w:pPr>
      <w:r>
        <w:rPr>
          <w:rFonts w:ascii="Times New Roman" w:hAnsi="Times New Roman"/>
          <w:b w:val="0"/>
          <w:i w:val="0"/>
        </w:rPr>
        <w:t xml:space="preserve">On the </w:t>
      </w:r>
      <w:r>
        <w:rPr>
          <w:rFonts w:ascii="Times New Roman" w:hAnsi="Times New Roman"/>
          <w:b/>
          <w:i w:val="0"/>
        </w:rPr>
        <w:t>primary outcome (28-day death)</w:t>
      </w:r>
      <w:r>
        <w:rPr>
          <w:rFonts w:ascii="Times New Roman" w:hAnsi="Times New Roman"/>
          <w:b w:val="0"/>
          <w:i w:val="0"/>
        </w:rPr>
        <w:t xml:space="preserve"> no IVW estimate reached significance, but two of the four assessable immune hubs (HLA-DQA1, CD14) returned protective estimates concordant across all three methods (Table 4) — the direction predicted by the immunoparalysis model for the down-regulated hubs. FIS1 also returned a protective point estimate, but FIS1 is </w:t>
      </w:r>
      <w:r>
        <w:rPr>
          <w:rFonts w:ascii="Times New Roman" w:hAnsi="Times New Roman"/>
          <w:b w:val="0"/>
          <w:i/>
        </w:rPr>
        <w:t>up</w:t>
      </w:r>
      <w:r>
        <w:rPr>
          <w:rFonts w:ascii="Times New Roman" w:hAnsi="Times New Roman"/>
          <w:b w:val="0"/>
          <w:i w:val="0"/>
        </w:rPr>
        <w:t xml:space="preserve">-regulated in Mars1 (logFC +1.26) and higher FIS1 expression is itself associated with worse 28-day death in the discovery cohort (OR per SD = 1.34, 95% CI 1.08–1.66, P = 0.007; §7, </w:t>
      </w:r>
      <w:r>
        <w:rPr>
          <w:rFonts w:ascii="Courier New" w:hAnsi="Courier New"/>
          <w:b w:val="0"/>
          <w:i w:val="0"/>
        </w:rPr>
        <w:t>S06_hub_death_association.csv</w:t>
      </w:r>
      <w:r>
        <w:rPr>
          <w:rFonts w:ascii="Times New Roman" w:hAnsi="Times New Roman"/>
          <w:b w:val="0"/>
          <w:i w:val="0"/>
        </w:rPr>
        <w:t xml:space="preserve">), so a protective MR estimate opposes its own observational direction; FIS1 is therefore reported as a passenger-gene observation rather than as model-concordant, and it is not counted among the concordant hubs; HAVCR2 showed a null Egger estimate (OR 1.010, </w:t>
      </w:r>
      <w:r>
        <w:rPr>
          <w:rFonts w:ascii="Times New Roman" w:hAnsi="Times New Roman"/>
          <w:b w:val="0"/>
          <w:i/>
        </w:rPr>
        <w:t>P</w:t>
      </w:r>
      <w:r>
        <w:rPr>
          <w:rFonts w:ascii="Times New Roman" w:hAnsi="Times New Roman"/>
          <w:b w:val="0"/>
          <w:i w:val="0"/>
        </w:rPr>
        <w:t xml:space="preserve">=0.95) and CD74 gave non-protective point estimates (all ≈1.0) on this outcome. For CD14 the MR-Egger estimate was nominally significant (OR 0.906, </w:t>
      </w:r>
      <w:r>
        <w:rPr>
          <w:rFonts w:ascii="Times New Roman" w:hAnsi="Times New Roman"/>
          <w:b w:val="0"/>
          <w:i/>
        </w:rPr>
        <w:t>P</w:t>
      </w:r>
      <w:r>
        <w:rPr>
          <w:rFonts w:ascii="Times New Roman" w:hAnsi="Times New Roman"/>
          <w:b w:val="0"/>
          <w:i w:val="0"/>
        </w:rPr>
        <w:t xml:space="preserve">=4.9×10⁻²). Under the pre-specified primary family correction (15 tests: five assessable genes × three outcomes, with inverse-variance weighting as the single primary estimator; MR-Egger and the weighted median are sensitivity analyses not counted in the family; §2.10), however, this gives minimum q = 0.81 across all 15 primary tests and does not cross the 0.05 threshold; the 45-test correction that additionally counts the two sensitivity estimators is reported in </w:t>
      </w:r>
      <w:r>
        <w:rPr>
          <w:rFonts w:ascii="Courier New" w:hAnsi="Courier New"/>
          <w:b w:val="0"/>
          <w:i w:val="0"/>
        </w:rPr>
        <w:t>10_mr_bh_family.csv</w:t>
      </w:r>
      <w:r>
        <w:rPr>
          <w:rFonts w:ascii="Times New Roman" w:hAnsi="Times New Roman"/>
          <w:b w:val="0"/>
          <w:i w:val="0"/>
        </w:rPr>
        <w:t xml:space="preserve"> for completeness as a dependence-ignoring approximation. The Egger intercept was not significant (</w:t>
      </w:r>
      <w:r>
        <w:rPr>
          <w:rFonts w:ascii="Times New Roman" w:hAnsi="Times New Roman"/>
          <w:b w:val="0"/>
          <w:i/>
        </w:rPr>
        <w:t>P</w:t>
      </w:r>
      <w:r>
        <w:rPr>
          <w:rFonts w:ascii="Times New Roman" w:hAnsi="Times New Roman"/>
          <w:b w:val="0"/>
          <w:i w:val="0"/>
        </w:rPr>
        <w:t xml:space="preserve">=0.34), but with only six instruments this intercept test has limited power to detect directional (horizontal) pleiotropy [41], so a null is only weakly reassuring. The CD14 Egger finding therefore rests on few instruments, is not corroborated by IVW or the weighted median, and does not survive the pre-specified family-wise correction; it is reported as a suggestive signal only. The concordance rule is sensitive near the null: HAVCR2's MR-Egger estimate (OR 1.010, 95% CI 0.727–1.404, P = 0.95) crosses 1.0 by 1% while its IVW (0.978) and weighted median (0.960) do not, so HAVCR2 fails the criterion on numerical rather than statistical grounds; conversely no hub's estimates are distinguishable from one another, and the count of two should be read as approximate. The weighted median was close behind (OR 0.914, </w:t>
      </w:r>
      <w:r>
        <w:rPr>
          <w:rFonts w:ascii="Times New Roman" w:hAnsi="Times New Roman"/>
          <w:b w:val="0"/>
          <w:i/>
        </w:rPr>
        <w:t>P</w:t>
      </w:r>
      <w:r>
        <w:rPr>
          <w:rFonts w:ascii="Times New Roman" w:hAnsi="Times New Roman"/>
          <w:b w:val="0"/>
          <w:i w:val="0"/>
        </w:rPr>
        <w:t xml:space="preserve">=0.065), and IVW pointed the same way but was underpowered (OR 0.927, </w:t>
      </w:r>
      <w:r>
        <w:rPr>
          <w:rFonts w:ascii="Times New Roman" w:hAnsi="Times New Roman"/>
          <w:b w:val="0"/>
          <w:i/>
        </w:rPr>
        <w:t>P</w:t>
      </w:r>
      <w:r>
        <w:rPr>
          <w:rFonts w:ascii="Times New Roman" w:hAnsi="Times New Roman"/>
          <w:b w:val="0"/>
          <w:i w:val="0"/>
        </w:rPr>
        <w:t xml:space="preserve">=0.24). Instrument strength was adequate throughout (median </w:t>
      </w:r>
      <w:r>
        <w:rPr>
          <w:rFonts w:ascii="Times New Roman" w:hAnsi="Times New Roman"/>
          <w:b w:val="0"/>
          <w:i/>
        </w:rPr>
        <w:t>F</w:t>
      </w:r>
      <w:r>
        <w:rPr>
          <w:rFonts w:ascii="Times New Roman" w:hAnsi="Times New Roman"/>
          <w:b w:val="0"/>
          <w:i w:val="0"/>
        </w:rPr>
        <w:t xml:space="preserve"> 35–168). Heterogeneity on the primary outcome was low (I² 0.00–0.29), but several secondary-outcome tests reached higher I² (up to 0.50, e.g. FIS1 critical care), as tabulated per test in </w:t>
      </w:r>
      <w:r>
        <w:rPr>
          <w:rFonts w:ascii="Courier New" w:hAnsi="Courier New"/>
          <w:b w:val="0"/>
          <w:i w:val="0"/>
        </w:rPr>
        <w:t>10_mr_bh_family.csv</w:t>
      </w:r>
      <w:r>
        <w:rPr>
          <w:rFonts w:ascii="Times New Roman" w:hAnsi="Times New Roman"/>
          <w:b w:val="0"/>
          <w:i w:val="0"/>
        </w:rPr>
        <w:t>.</w:t>
      </w:r>
    </w:p>
    <w:p>
      <w:pPr>
        <w:spacing w:before="0" w:after="80"/>
      </w:pPr>
      <w:r>
        <w:rPr>
          <w:rFonts w:ascii="Times New Roman" w:hAnsi="Times New Roman"/>
          <w:b w:val="0"/>
          <w:i/>
        </w:rPr>
        <w:t xml:space="preserve">Table 4. Two-sample MR of hub-gene expression on </w:t>
      </w:r>
      <w:r>
        <w:rPr>
          <w:rFonts w:ascii="Times New Roman" w:hAnsi="Times New Roman"/>
          <w:b w:val="0"/>
          <w:i/>
        </w:rPr>
        <w:t>sepsis 28-day death</w:t>
      </w:r>
      <w:r>
        <w:rPr>
          <w:rFonts w:ascii="Times New Roman" w:hAnsi="Times New Roman"/>
          <w:b w:val="0"/>
          <w:i/>
        </w:rPr>
        <w:t xml:space="preserve"> (`ieu-b-5086`, primary). OR is per unit change in eQTL-predicted expression.</w:t>
      </w:r>
      <w:r>
        <w:rPr>
          <w:rFonts w:ascii="Times New Roman" w:hAnsi="Times New Roman"/>
          <w:b w:val="0"/>
          <w:i w:val="0"/>
        </w:rPr>
        <w:t xml:space="preserve">  [full: </w:t>
      </w:r>
      <w:r>
        <w:rPr>
          <w:rFonts w:ascii="Courier New" w:hAnsi="Courier New"/>
          <w:b w:val="0"/>
          <w:i w:val="0"/>
        </w:rPr>
        <w:t>03_results/10_genetics_mr_outcome5086_28ddeath.csv</w:t>
      </w:r>
      <w:r>
        <w:rPr>
          <w:rFonts w:ascii="Times New Roman" w:hAnsi="Times New Roman"/>
          <w:b w:val="0"/>
          <w:i w:val="0"/>
        </w:rPr>
        <w:t>]</w:t>
      </w:r>
    </w:p>
    <w:tbl>
      <w:tblPr>
        <w:tblStyle w:val="TableGrid"/>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170"/>
          </w:tcPr>
          <w:p>
            <w:pPr>
              <w:spacing w:line="240" w:lineRule="auto" w:before="20" w:after="20"/>
            </w:pPr>
            <w:r/>
            <w:r>
              <w:rPr>
                <w:rFonts w:ascii="Times New Roman" w:hAnsi="Times New Roman"/>
                <w:b/>
                <w:i w:val="0"/>
                <w:sz w:val="17"/>
              </w:rPr>
              <w:t>Gene</w:t>
            </w:r>
          </w:p>
        </w:tc>
        <w:tc>
          <w:tcPr>
            <w:tcW w:type="dxa" w:w="1170"/>
          </w:tcPr>
          <w:p>
            <w:pPr>
              <w:spacing w:line="240" w:lineRule="auto" w:before="20" w:after="20"/>
            </w:pPr>
            <w:r/>
            <w:r>
              <w:rPr>
                <w:rFonts w:ascii="Times New Roman" w:hAnsi="Times New Roman"/>
                <w:b/>
                <w:i w:val="0"/>
                <w:sz w:val="17"/>
              </w:rPr>
              <w:t>n IV</w:t>
            </w:r>
          </w:p>
        </w:tc>
        <w:tc>
          <w:tcPr>
            <w:tcW w:type="dxa" w:w="1170"/>
          </w:tcPr>
          <w:p>
            <w:pPr>
              <w:spacing w:line="240" w:lineRule="auto" w:before="20" w:after="20"/>
            </w:pPr>
            <w:r/>
            <w:r>
              <w:rPr>
                <w:rFonts w:ascii="Times New Roman" w:hAnsi="Times New Roman"/>
                <w:b/>
                <w:i w:val="0"/>
                <w:sz w:val="17"/>
              </w:rPr>
              <w:t>IVW OR (95% CI)</w:t>
            </w:r>
          </w:p>
        </w:tc>
        <w:tc>
          <w:tcPr>
            <w:tcW w:type="dxa" w:w="1170"/>
          </w:tcPr>
          <w:p>
            <w:pPr>
              <w:spacing w:line="240" w:lineRule="auto" w:before="20" w:after="20"/>
            </w:pPr>
            <w:r/>
            <w:r>
              <w:rPr>
                <w:rFonts w:ascii="Times New Roman" w:hAnsi="Times New Roman"/>
                <w:b/>
                <w:i w:val="0"/>
                <w:sz w:val="17"/>
              </w:rPr>
              <w:t xml:space="preserve">IVW </w:t>
            </w:r>
            <w:r>
              <w:rPr>
                <w:rFonts w:ascii="Times New Roman" w:hAnsi="Times New Roman"/>
                <w:b/>
                <w:i/>
                <w:sz w:val="17"/>
              </w:rPr>
              <w:t>P</w:t>
            </w:r>
          </w:p>
        </w:tc>
        <w:tc>
          <w:tcPr>
            <w:tcW w:type="dxa" w:w="1170"/>
          </w:tcPr>
          <w:p>
            <w:pPr>
              <w:spacing w:line="240" w:lineRule="auto" w:before="20" w:after="20"/>
            </w:pPr>
            <w:r/>
            <w:r>
              <w:rPr>
                <w:rFonts w:ascii="Times New Roman" w:hAnsi="Times New Roman"/>
                <w:b/>
                <w:i w:val="0"/>
                <w:sz w:val="17"/>
              </w:rPr>
              <w:t>MR-Egger OR (</w:t>
            </w:r>
            <w:r>
              <w:rPr>
                <w:rFonts w:ascii="Times New Roman" w:hAnsi="Times New Roman"/>
                <w:b/>
                <w:i/>
                <w:sz w:val="17"/>
              </w:rPr>
              <w:t>P</w:t>
            </w:r>
            <w:r>
              <w:rPr>
                <w:rFonts w:ascii="Times New Roman" w:hAnsi="Times New Roman"/>
                <w:b/>
                <w:i w:val="0"/>
                <w:sz w:val="17"/>
              </w:rPr>
              <w:t>)</w:t>
            </w:r>
          </w:p>
        </w:tc>
        <w:tc>
          <w:tcPr>
            <w:tcW w:type="dxa" w:w="1170"/>
          </w:tcPr>
          <w:p>
            <w:pPr>
              <w:spacing w:line="240" w:lineRule="auto" w:before="20" w:after="20"/>
            </w:pPr>
            <w:r/>
            <w:r>
              <w:rPr>
                <w:rFonts w:ascii="Times New Roman" w:hAnsi="Times New Roman"/>
                <w:b/>
                <w:i w:val="0"/>
                <w:sz w:val="17"/>
              </w:rPr>
              <w:t>Weighted median OR (</w:t>
            </w:r>
            <w:r>
              <w:rPr>
                <w:rFonts w:ascii="Times New Roman" w:hAnsi="Times New Roman"/>
                <w:b/>
                <w:i/>
                <w:sz w:val="17"/>
              </w:rPr>
              <w:t>P</w:t>
            </w:r>
            <w:r>
              <w:rPr>
                <w:rFonts w:ascii="Times New Roman" w:hAnsi="Times New Roman"/>
                <w:b/>
                <w:i w:val="0"/>
                <w:sz w:val="17"/>
              </w:rPr>
              <w:t>)</w:t>
            </w:r>
          </w:p>
        </w:tc>
        <w:tc>
          <w:tcPr>
            <w:tcW w:type="dxa" w:w="1170"/>
          </w:tcPr>
          <w:p>
            <w:pPr>
              <w:spacing w:line="240" w:lineRule="auto" w:before="20" w:after="20"/>
            </w:pPr>
            <w:r/>
            <w:r>
              <w:rPr>
                <w:rFonts w:ascii="Times New Roman" w:hAnsi="Times New Roman"/>
                <w:b/>
                <w:i w:val="0"/>
                <w:sz w:val="17"/>
              </w:rPr>
              <w:t xml:space="preserve">Cochran Q </w:t>
            </w:r>
            <w:r>
              <w:rPr>
                <w:rFonts w:ascii="Times New Roman" w:hAnsi="Times New Roman"/>
                <w:b/>
                <w:i/>
                <w:sz w:val="17"/>
              </w:rPr>
              <w:t>P</w:t>
            </w:r>
            <w:r>
              <w:rPr>
                <w:rFonts w:ascii="Times New Roman" w:hAnsi="Times New Roman"/>
                <w:b/>
                <w:i w:val="0"/>
                <w:sz w:val="17"/>
              </w:rPr>
              <w:t xml:space="preserve"> / I²</w:t>
            </w:r>
          </w:p>
        </w:tc>
        <w:tc>
          <w:tcPr>
            <w:tcW w:type="dxa" w:w="1170"/>
          </w:tcPr>
          <w:p>
            <w:pPr>
              <w:spacing w:line="240" w:lineRule="auto" w:before="20" w:after="20"/>
            </w:pPr>
            <w:r/>
            <w:r>
              <w:rPr>
                <w:rFonts w:ascii="Times New Roman" w:hAnsi="Times New Roman"/>
                <w:b/>
                <w:i w:val="0"/>
                <w:sz w:val="17"/>
              </w:rPr>
              <w:t xml:space="preserve">Median </w:t>
            </w:r>
            <w:r>
              <w:rPr>
                <w:rFonts w:ascii="Times New Roman" w:hAnsi="Times New Roman"/>
                <w:b/>
                <w:i/>
                <w:sz w:val="17"/>
              </w:rPr>
              <w:t>F</w:t>
            </w:r>
          </w:p>
        </w:tc>
      </w:tr>
      <w:tr>
        <w:tc>
          <w:tcPr>
            <w:tcW w:type="dxa" w:w="1170"/>
          </w:tcPr>
          <w:p>
            <w:pPr>
              <w:spacing w:line="240" w:lineRule="auto" w:before="20" w:after="20"/>
            </w:pPr>
            <w:r/>
            <w:r>
              <w:rPr>
                <w:rFonts w:ascii="Times New Roman" w:hAnsi="Times New Roman"/>
                <w:b w:val="0"/>
                <w:i w:val="0"/>
                <w:sz w:val="17"/>
              </w:rPr>
              <w:t>CD74</w:t>
            </w:r>
          </w:p>
        </w:tc>
        <w:tc>
          <w:tcPr>
            <w:tcW w:type="dxa" w:w="1170"/>
          </w:tcPr>
          <w:p>
            <w:pPr>
              <w:spacing w:line="240" w:lineRule="auto" w:before="20" w:after="20"/>
            </w:pPr>
            <w:r/>
            <w:r>
              <w:rPr>
                <w:rFonts w:ascii="Times New Roman" w:hAnsi="Times New Roman"/>
                <w:b w:val="0"/>
                <w:i w:val="0"/>
                <w:sz w:val="17"/>
              </w:rPr>
              <w:t>3</w:t>
            </w:r>
          </w:p>
        </w:tc>
        <w:tc>
          <w:tcPr>
            <w:tcW w:type="dxa" w:w="1170"/>
          </w:tcPr>
          <w:p>
            <w:pPr>
              <w:spacing w:line="240" w:lineRule="auto" w:before="20" w:after="20"/>
            </w:pPr>
            <w:r/>
            <w:r>
              <w:rPr>
                <w:rFonts w:ascii="Times New Roman" w:hAnsi="Times New Roman"/>
                <w:b w:val="0"/>
                <w:i w:val="0"/>
                <w:sz w:val="17"/>
              </w:rPr>
              <w:t>1.119 (0.607–2.063)</w:t>
            </w:r>
          </w:p>
        </w:tc>
        <w:tc>
          <w:tcPr>
            <w:tcW w:type="dxa" w:w="1170"/>
          </w:tcPr>
          <w:p>
            <w:pPr>
              <w:spacing w:line="240" w:lineRule="auto" w:before="20" w:after="20"/>
            </w:pPr>
            <w:r/>
            <w:r>
              <w:rPr>
                <w:rFonts w:ascii="Times New Roman" w:hAnsi="Times New Roman"/>
                <w:b w:val="0"/>
                <w:i w:val="0"/>
                <w:sz w:val="17"/>
              </w:rPr>
              <w:t>0.72</w:t>
            </w:r>
          </w:p>
        </w:tc>
        <w:tc>
          <w:tcPr>
            <w:tcW w:type="dxa" w:w="1170"/>
          </w:tcPr>
          <w:p>
            <w:pPr>
              <w:spacing w:line="240" w:lineRule="auto" w:before="20" w:after="20"/>
            </w:pPr>
            <w:r/>
            <w:r>
              <w:rPr>
                <w:rFonts w:ascii="Times New Roman" w:hAnsi="Times New Roman"/>
                <w:b w:val="0"/>
                <w:i w:val="0"/>
                <w:sz w:val="17"/>
              </w:rPr>
              <w:t>1.093 (0.88)</w:t>
            </w:r>
          </w:p>
        </w:tc>
        <w:tc>
          <w:tcPr>
            <w:tcW w:type="dxa" w:w="1170"/>
          </w:tcPr>
          <w:p>
            <w:pPr>
              <w:spacing w:line="240" w:lineRule="auto" w:before="20" w:after="20"/>
            </w:pPr>
            <w:r/>
            <w:r>
              <w:rPr>
                <w:rFonts w:ascii="Times New Roman" w:hAnsi="Times New Roman"/>
                <w:b w:val="0"/>
                <w:i w:val="0"/>
                <w:sz w:val="17"/>
              </w:rPr>
              <w:t>0.970 (0.94)</w:t>
            </w:r>
          </w:p>
        </w:tc>
        <w:tc>
          <w:tcPr>
            <w:tcW w:type="dxa" w:w="1170"/>
          </w:tcPr>
          <w:p>
            <w:pPr>
              <w:spacing w:line="240" w:lineRule="auto" w:before="20" w:after="20"/>
            </w:pPr>
            <w:r/>
            <w:r>
              <w:rPr>
                <w:rFonts w:ascii="Times New Roman" w:hAnsi="Times New Roman"/>
                <w:b w:val="0"/>
                <w:i w:val="0"/>
                <w:sz w:val="17"/>
              </w:rPr>
              <w:t>0.28 / 0.22</w:t>
            </w:r>
          </w:p>
        </w:tc>
        <w:tc>
          <w:tcPr>
            <w:tcW w:type="dxa" w:w="1170"/>
          </w:tcPr>
          <w:p>
            <w:pPr>
              <w:spacing w:line="240" w:lineRule="auto" w:before="20" w:after="20"/>
            </w:pPr>
            <w:r/>
            <w:r>
              <w:rPr>
                <w:rFonts w:ascii="Times New Roman" w:hAnsi="Times New Roman"/>
                <w:b w:val="0"/>
                <w:i w:val="0"/>
                <w:sz w:val="17"/>
              </w:rPr>
              <w:t>35.4</w:t>
            </w:r>
          </w:p>
        </w:tc>
      </w:tr>
      <w:tr>
        <w:tc>
          <w:tcPr>
            <w:tcW w:type="dxa" w:w="1170"/>
          </w:tcPr>
          <w:p>
            <w:pPr>
              <w:spacing w:line="240" w:lineRule="auto" w:before="20" w:after="20"/>
            </w:pPr>
            <w:r/>
            <w:r>
              <w:rPr>
                <w:rFonts w:ascii="Times New Roman" w:hAnsi="Times New Roman"/>
                <w:b w:val="0"/>
                <w:i w:val="0"/>
                <w:sz w:val="17"/>
              </w:rPr>
              <w:t>HLA-DQA1</w:t>
            </w:r>
          </w:p>
        </w:tc>
        <w:tc>
          <w:tcPr>
            <w:tcW w:type="dxa" w:w="1170"/>
          </w:tcPr>
          <w:p>
            <w:pPr>
              <w:spacing w:line="240" w:lineRule="auto" w:before="20" w:after="20"/>
            </w:pPr>
            <w:r/>
            <w:r>
              <w:rPr>
                <w:rFonts w:ascii="Times New Roman" w:hAnsi="Times New Roman"/>
                <w:b w:val="0"/>
                <w:i w:val="0"/>
                <w:sz w:val="17"/>
              </w:rPr>
              <w:t>4</w:t>
            </w:r>
          </w:p>
        </w:tc>
        <w:tc>
          <w:tcPr>
            <w:tcW w:type="dxa" w:w="1170"/>
          </w:tcPr>
          <w:p>
            <w:pPr>
              <w:spacing w:line="240" w:lineRule="auto" w:before="20" w:after="20"/>
            </w:pPr>
            <w:r/>
            <w:r>
              <w:rPr>
                <w:rFonts w:ascii="Times New Roman" w:hAnsi="Times New Roman"/>
                <w:b w:val="0"/>
                <w:i w:val="0"/>
                <w:sz w:val="17"/>
              </w:rPr>
              <w:t>0.923 (0.804–1.061)</w:t>
            </w:r>
          </w:p>
        </w:tc>
        <w:tc>
          <w:tcPr>
            <w:tcW w:type="dxa" w:w="1170"/>
          </w:tcPr>
          <w:p>
            <w:pPr>
              <w:spacing w:line="240" w:lineRule="auto" w:before="20" w:after="20"/>
            </w:pPr>
            <w:r/>
            <w:r>
              <w:rPr>
                <w:rFonts w:ascii="Times New Roman" w:hAnsi="Times New Roman"/>
                <w:b w:val="0"/>
                <w:i w:val="0"/>
                <w:sz w:val="17"/>
              </w:rPr>
              <w:t>0.26</w:t>
            </w:r>
          </w:p>
        </w:tc>
        <w:tc>
          <w:tcPr>
            <w:tcW w:type="dxa" w:w="1170"/>
          </w:tcPr>
          <w:p>
            <w:pPr>
              <w:spacing w:line="240" w:lineRule="auto" w:before="20" w:after="20"/>
            </w:pPr>
            <w:r/>
            <w:r>
              <w:rPr>
                <w:rFonts w:ascii="Times New Roman" w:hAnsi="Times New Roman"/>
                <w:b w:val="0"/>
                <w:i w:val="0"/>
                <w:sz w:val="17"/>
              </w:rPr>
              <w:t>0.954 (0.56)</w:t>
            </w:r>
          </w:p>
        </w:tc>
        <w:tc>
          <w:tcPr>
            <w:tcW w:type="dxa" w:w="1170"/>
          </w:tcPr>
          <w:p>
            <w:pPr>
              <w:spacing w:line="240" w:lineRule="auto" w:before="20" w:after="20"/>
            </w:pPr>
            <w:r/>
            <w:r>
              <w:rPr>
                <w:rFonts w:ascii="Times New Roman" w:hAnsi="Times New Roman"/>
                <w:b w:val="0"/>
                <w:i w:val="0"/>
                <w:sz w:val="17"/>
              </w:rPr>
              <w:t>0.930 (0.41)</w:t>
            </w:r>
          </w:p>
        </w:tc>
        <w:tc>
          <w:tcPr>
            <w:tcW w:type="dxa" w:w="1170"/>
          </w:tcPr>
          <w:p>
            <w:pPr>
              <w:spacing w:line="240" w:lineRule="auto" w:before="20" w:after="20"/>
            </w:pPr>
            <w:r/>
            <w:r>
              <w:rPr>
                <w:rFonts w:ascii="Times New Roman" w:hAnsi="Times New Roman"/>
                <w:b w:val="0"/>
                <w:i w:val="0"/>
                <w:sz w:val="17"/>
              </w:rPr>
              <w:t>0.59 / 0.00</w:t>
            </w:r>
          </w:p>
        </w:tc>
        <w:tc>
          <w:tcPr>
            <w:tcW w:type="dxa" w:w="1170"/>
          </w:tcPr>
          <w:p>
            <w:pPr>
              <w:spacing w:line="240" w:lineRule="auto" w:before="20" w:after="20"/>
            </w:pPr>
            <w:r/>
            <w:r>
              <w:rPr>
                <w:rFonts w:ascii="Times New Roman" w:hAnsi="Times New Roman"/>
                <w:b w:val="0"/>
                <w:i w:val="0"/>
                <w:sz w:val="17"/>
              </w:rPr>
              <w:t>168.1</w:t>
            </w:r>
          </w:p>
        </w:tc>
      </w:tr>
      <w:tr>
        <w:tc>
          <w:tcPr>
            <w:tcW w:type="dxa" w:w="1170"/>
          </w:tcPr>
          <w:p>
            <w:pPr>
              <w:spacing w:line="240" w:lineRule="auto" w:before="20" w:after="20"/>
            </w:pPr>
            <w:r/>
            <w:r>
              <w:rPr>
                <w:rFonts w:ascii="Times New Roman" w:hAnsi="Times New Roman"/>
                <w:b w:val="0"/>
                <w:i w:val="0"/>
                <w:sz w:val="17"/>
              </w:rPr>
              <w:t>CD14</w:t>
            </w:r>
          </w:p>
        </w:tc>
        <w:tc>
          <w:tcPr>
            <w:tcW w:type="dxa" w:w="1170"/>
          </w:tcPr>
          <w:p>
            <w:pPr>
              <w:spacing w:line="240" w:lineRule="auto" w:before="20" w:after="20"/>
            </w:pPr>
            <w:r/>
            <w:r>
              <w:rPr>
                <w:rFonts w:ascii="Times New Roman" w:hAnsi="Times New Roman"/>
                <w:b w:val="0"/>
                <w:i w:val="0"/>
                <w:sz w:val="17"/>
              </w:rPr>
              <w:t>6</w:t>
            </w:r>
          </w:p>
        </w:tc>
        <w:tc>
          <w:tcPr>
            <w:tcW w:type="dxa" w:w="1170"/>
          </w:tcPr>
          <w:p>
            <w:pPr>
              <w:spacing w:line="240" w:lineRule="auto" w:before="20" w:after="20"/>
            </w:pPr>
            <w:r/>
            <w:r>
              <w:rPr>
                <w:rFonts w:ascii="Times New Roman" w:hAnsi="Times New Roman"/>
                <w:b w:val="0"/>
                <w:i w:val="0"/>
                <w:sz w:val="17"/>
              </w:rPr>
              <w:t>0.927 (0.818–1.051)</w:t>
            </w:r>
          </w:p>
        </w:tc>
        <w:tc>
          <w:tcPr>
            <w:tcW w:type="dxa" w:w="1170"/>
          </w:tcPr>
          <w:p>
            <w:pPr>
              <w:spacing w:line="240" w:lineRule="auto" w:before="20" w:after="20"/>
            </w:pPr>
            <w:r/>
            <w:r>
              <w:rPr>
                <w:rFonts w:ascii="Times New Roman" w:hAnsi="Times New Roman"/>
                <w:b w:val="0"/>
                <w:i w:val="0"/>
                <w:sz w:val="17"/>
              </w:rPr>
              <w:t>0.24</w:t>
            </w:r>
          </w:p>
        </w:tc>
        <w:tc>
          <w:tcPr>
            <w:tcW w:type="dxa" w:w="1170"/>
          </w:tcPr>
          <w:p>
            <w:pPr>
              <w:spacing w:line="240" w:lineRule="auto" w:before="20" w:after="20"/>
            </w:pPr>
            <w:r/>
            <w:r>
              <w:rPr>
                <w:rFonts w:ascii="Times New Roman" w:hAnsi="Times New Roman"/>
                <w:b/>
                <w:i w:val="0"/>
                <w:sz w:val="17"/>
              </w:rPr>
              <w:t>0.906 (4.9×10⁻²)</w:t>
            </w:r>
          </w:p>
        </w:tc>
        <w:tc>
          <w:tcPr>
            <w:tcW w:type="dxa" w:w="1170"/>
          </w:tcPr>
          <w:p>
            <w:pPr>
              <w:spacing w:line="240" w:lineRule="auto" w:before="20" w:after="20"/>
            </w:pPr>
            <w:r/>
            <w:r>
              <w:rPr>
                <w:rFonts w:ascii="Times New Roman" w:hAnsi="Times New Roman"/>
                <w:b w:val="0"/>
                <w:i w:val="0"/>
                <w:sz w:val="17"/>
              </w:rPr>
              <w:t>0.914 (0.065)</w:t>
            </w:r>
          </w:p>
        </w:tc>
        <w:tc>
          <w:tcPr>
            <w:tcW w:type="dxa" w:w="1170"/>
          </w:tcPr>
          <w:p>
            <w:pPr>
              <w:spacing w:line="240" w:lineRule="auto" w:before="20" w:after="20"/>
            </w:pPr>
            <w:r/>
            <w:r>
              <w:rPr>
                <w:rFonts w:ascii="Times New Roman" w:hAnsi="Times New Roman"/>
                <w:b w:val="0"/>
                <w:i w:val="0"/>
                <w:sz w:val="17"/>
              </w:rPr>
              <w:t>0.98 / 0.00</w:t>
            </w:r>
          </w:p>
        </w:tc>
        <w:tc>
          <w:tcPr>
            <w:tcW w:type="dxa" w:w="1170"/>
          </w:tcPr>
          <w:p>
            <w:pPr>
              <w:spacing w:line="240" w:lineRule="auto" w:before="20" w:after="20"/>
            </w:pPr>
            <w:r/>
            <w:r>
              <w:rPr>
                <w:rFonts w:ascii="Times New Roman" w:hAnsi="Times New Roman"/>
                <w:b w:val="0"/>
                <w:i w:val="0"/>
                <w:sz w:val="17"/>
              </w:rPr>
              <w:t>45.7</w:t>
            </w:r>
          </w:p>
        </w:tc>
      </w:tr>
      <w:tr>
        <w:tc>
          <w:tcPr>
            <w:tcW w:type="dxa" w:w="1170"/>
          </w:tcPr>
          <w:p>
            <w:pPr>
              <w:spacing w:line="240" w:lineRule="auto" w:before="20" w:after="20"/>
            </w:pPr>
            <w:r/>
            <w:r>
              <w:rPr>
                <w:rFonts w:ascii="Times New Roman" w:hAnsi="Times New Roman"/>
                <w:b w:val="0"/>
                <w:i w:val="0"/>
                <w:sz w:val="17"/>
              </w:rPr>
              <w:t>HAVCR2</w:t>
            </w:r>
          </w:p>
        </w:tc>
        <w:tc>
          <w:tcPr>
            <w:tcW w:type="dxa" w:w="1170"/>
          </w:tcPr>
          <w:p>
            <w:pPr>
              <w:spacing w:line="240" w:lineRule="auto" w:before="20" w:after="20"/>
            </w:pPr>
            <w:r/>
            <w:r>
              <w:rPr>
                <w:rFonts w:ascii="Times New Roman" w:hAnsi="Times New Roman"/>
                <w:b w:val="0"/>
                <w:i w:val="0"/>
                <w:sz w:val="17"/>
              </w:rPr>
              <w:t>6</w:t>
            </w:r>
          </w:p>
        </w:tc>
        <w:tc>
          <w:tcPr>
            <w:tcW w:type="dxa" w:w="1170"/>
          </w:tcPr>
          <w:p>
            <w:pPr>
              <w:spacing w:line="240" w:lineRule="auto" w:before="20" w:after="20"/>
            </w:pPr>
            <w:r/>
            <w:r>
              <w:rPr>
                <w:rFonts w:ascii="Times New Roman" w:hAnsi="Times New Roman"/>
                <w:b w:val="0"/>
                <w:i w:val="0"/>
                <w:sz w:val="17"/>
              </w:rPr>
              <w:t>0.978 (0.776–1.232)</w:t>
            </w:r>
          </w:p>
        </w:tc>
        <w:tc>
          <w:tcPr>
            <w:tcW w:type="dxa" w:w="1170"/>
          </w:tcPr>
          <w:p>
            <w:pPr>
              <w:spacing w:line="240" w:lineRule="auto" w:before="20" w:after="20"/>
            </w:pPr>
            <w:r/>
            <w:r>
              <w:rPr>
                <w:rFonts w:ascii="Times New Roman" w:hAnsi="Times New Roman"/>
                <w:b w:val="0"/>
                <w:i w:val="0"/>
                <w:sz w:val="17"/>
              </w:rPr>
              <w:t>0.85</w:t>
            </w:r>
          </w:p>
        </w:tc>
        <w:tc>
          <w:tcPr>
            <w:tcW w:type="dxa" w:w="1170"/>
          </w:tcPr>
          <w:p>
            <w:pPr>
              <w:spacing w:line="240" w:lineRule="auto" w:before="20" w:after="20"/>
            </w:pPr>
            <w:r/>
            <w:r>
              <w:rPr>
                <w:rFonts w:ascii="Times New Roman" w:hAnsi="Times New Roman"/>
                <w:b w:val="0"/>
                <w:i w:val="0"/>
                <w:sz w:val="17"/>
              </w:rPr>
              <w:t>1.010 (0.95)</w:t>
            </w:r>
          </w:p>
        </w:tc>
        <w:tc>
          <w:tcPr>
            <w:tcW w:type="dxa" w:w="1170"/>
          </w:tcPr>
          <w:p>
            <w:pPr>
              <w:spacing w:line="240" w:lineRule="auto" w:before="20" w:after="20"/>
            </w:pPr>
            <w:r/>
            <w:r>
              <w:rPr>
                <w:rFonts w:ascii="Times New Roman" w:hAnsi="Times New Roman"/>
                <w:b w:val="0"/>
                <w:i w:val="0"/>
                <w:sz w:val="17"/>
              </w:rPr>
              <w:t>0.960 (0.85)</w:t>
            </w:r>
          </w:p>
        </w:tc>
        <w:tc>
          <w:tcPr>
            <w:tcW w:type="dxa" w:w="1170"/>
          </w:tcPr>
          <w:p>
            <w:pPr>
              <w:spacing w:line="240" w:lineRule="auto" w:before="20" w:after="20"/>
            </w:pPr>
            <w:r/>
            <w:r>
              <w:rPr>
                <w:rFonts w:ascii="Times New Roman" w:hAnsi="Times New Roman"/>
                <w:b w:val="0"/>
                <w:i w:val="0"/>
                <w:sz w:val="17"/>
              </w:rPr>
              <w:t>0.22 / 0.29</w:t>
            </w:r>
          </w:p>
        </w:tc>
        <w:tc>
          <w:tcPr>
            <w:tcW w:type="dxa" w:w="1170"/>
          </w:tcPr>
          <w:p>
            <w:pPr>
              <w:spacing w:line="240" w:lineRule="auto" w:before="20" w:after="20"/>
            </w:pPr>
            <w:r/>
            <w:r>
              <w:rPr>
                <w:rFonts w:ascii="Times New Roman" w:hAnsi="Times New Roman"/>
                <w:b w:val="0"/>
                <w:i w:val="0"/>
                <w:sz w:val="17"/>
              </w:rPr>
              <w:t>36.4</w:t>
            </w:r>
          </w:p>
        </w:tc>
      </w:tr>
      <w:tr>
        <w:tc>
          <w:tcPr>
            <w:tcW w:type="dxa" w:w="1170"/>
          </w:tcPr>
          <w:p>
            <w:pPr>
              <w:spacing w:line="240" w:lineRule="auto" w:before="20" w:after="20"/>
            </w:pPr>
            <w:r/>
            <w:r>
              <w:rPr>
                <w:rFonts w:ascii="Times New Roman" w:hAnsi="Times New Roman"/>
                <w:b w:val="0"/>
                <w:i w:val="0"/>
                <w:sz w:val="17"/>
              </w:rPr>
              <w:t>FIS1</w:t>
            </w:r>
          </w:p>
        </w:tc>
        <w:tc>
          <w:tcPr>
            <w:tcW w:type="dxa" w:w="1170"/>
          </w:tcPr>
          <w:p>
            <w:pPr>
              <w:spacing w:line="240" w:lineRule="auto" w:before="20" w:after="20"/>
            </w:pPr>
            <w:r/>
            <w:r>
              <w:rPr>
                <w:rFonts w:ascii="Times New Roman" w:hAnsi="Times New Roman"/>
                <w:b w:val="0"/>
                <w:i w:val="0"/>
                <w:sz w:val="17"/>
              </w:rPr>
              <w:t>8</w:t>
            </w:r>
          </w:p>
        </w:tc>
        <w:tc>
          <w:tcPr>
            <w:tcW w:type="dxa" w:w="1170"/>
          </w:tcPr>
          <w:p>
            <w:pPr>
              <w:spacing w:line="240" w:lineRule="auto" w:before="20" w:after="20"/>
            </w:pPr>
            <w:r/>
            <w:r>
              <w:rPr>
                <w:rFonts w:ascii="Times New Roman" w:hAnsi="Times New Roman"/>
                <w:b w:val="0"/>
                <w:i w:val="0"/>
                <w:sz w:val="17"/>
              </w:rPr>
              <w:t>0.963 (0.869–1.067)</w:t>
            </w:r>
          </w:p>
        </w:tc>
        <w:tc>
          <w:tcPr>
            <w:tcW w:type="dxa" w:w="1170"/>
          </w:tcPr>
          <w:p>
            <w:pPr>
              <w:spacing w:line="240" w:lineRule="auto" w:before="20" w:after="20"/>
            </w:pPr>
            <w:r/>
            <w:r>
              <w:rPr>
                <w:rFonts w:ascii="Times New Roman" w:hAnsi="Times New Roman"/>
                <w:b w:val="0"/>
                <w:i w:val="0"/>
                <w:sz w:val="17"/>
              </w:rPr>
              <w:t>0.47</w:t>
            </w:r>
          </w:p>
        </w:tc>
        <w:tc>
          <w:tcPr>
            <w:tcW w:type="dxa" w:w="1170"/>
          </w:tcPr>
          <w:p>
            <w:pPr>
              <w:spacing w:line="240" w:lineRule="auto" w:before="20" w:after="20"/>
            </w:pPr>
            <w:r/>
            <w:r>
              <w:rPr>
                <w:rFonts w:ascii="Times New Roman" w:hAnsi="Times New Roman"/>
                <w:b w:val="0"/>
                <w:i w:val="0"/>
                <w:sz w:val="17"/>
              </w:rPr>
              <w:t>0.964 (0.49)</w:t>
            </w:r>
          </w:p>
        </w:tc>
        <w:tc>
          <w:tcPr>
            <w:tcW w:type="dxa" w:w="1170"/>
          </w:tcPr>
          <w:p>
            <w:pPr>
              <w:spacing w:line="240" w:lineRule="auto" w:before="20" w:after="20"/>
            </w:pPr>
            <w:r/>
            <w:r>
              <w:rPr>
                <w:rFonts w:ascii="Times New Roman" w:hAnsi="Times New Roman"/>
                <w:b w:val="0"/>
                <w:i w:val="0"/>
                <w:sz w:val="17"/>
              </w:rPr>
              <w:t>0.971 (0.77)</w:t>
            </w:r>
          </w:p>
        </w:tc>
        <w:tc>
          <w:tcPr>
            <w:tcW w:type="dxa" w:w="1170"/>
          </w:tcPr>
          <w:p>
            <w:pPr>
              <w:spacing w:line="240" w:lineRule="auto" w:before="20" w:after="20"/>
            </w:pPr>
            <w:r/>
            <w:r>
              <w:rPr>
                <w:rFonts w:ascii="Times New Roman" w:hAnsi="Times New Roman"/>
                <w:b w:val="0"/>
                <w:i w:val="0"/>
                <w:sz w:val="17"/>
              </w:rPr>
              <w:t>0.76 / 0.00</w:t>
            </w:r>
          </w:p>
        </w:tc>
        <w:tc>
          <w:tcPr>
            <w:tcW w:type="dxa" w:w="1170"/>
          </w:tcPr>
          <w:p>
            <w:pPr>
              <w:spacing w:line="240" w:lineRule="auto" w:before="20" w:after="20"/>
            </w:pPr>
            <w:r/>
            <w:r>
              <w:rPr>
                <w:rFonts w:ascii="Times New Roman" w:hAnsi="Times New Roman"/>
                <w:b w:val="0"/>
                <w:i w:val="0"/>
                <w:sz w:val="17"/>
              </w:rPr>
              <w:t>75.0</w:t>
            </w:r>
          </w:p>
        </w:tc>
      </w:tr>
      <w:tr>
        <w:tc>
          <w:tcPr>
            <w:tcW w:type="dxa" w:w="1170"/>
          </w:tcPr>
          <w:p>
            <w:pPr>
              <w:spacing w:line="240" w:lineRule="auto" w:before="20" w:after="20"/>
            </w:pPr>
            <w:r/>
            <w:r>
              <w:rPr>
                <w:rFonts w:ascii="Times New Roman" w:hAnsi="Times New Roman"/>
                <w:b w:val="0"/>
                <w:i w:val="0"/>
                <w:sz w:val="17"/>
              </w:rPr>
              <w:t>FCGR3A</w:t>
            </w:r>
          </w:p>
        </w:tc>
        <w:tc>
          <w:tcPr>
            <w:tcW w:type="dxa" w:w="1170"/>
          </w:tcPr>
          <w:p>
            <w:pPr>
              <w:spacing w:line="240" w:lineRule="auto" w:before="20" w:after="20"/>
            </w:pPr>
            <w:r/>
            <w:r>
              <w:rPr>
                <w:rFonts w:ascii="Times New Roman" w:hAnsi="Times New Roman"/>
                <w:b w:val="0"/>
                <w:i w:val="0"/>
                <w:sz w:val="17"/>
              </w:rPr>
              <w:t>2</w:t>
            </w:r>
          </w:p>
        </w:tc>
        <w:tc>
          <w:tcPr>
            <w:tcW w:type="dxa" w:w="1170"/>
          </w:tcPr>
          <w:p>
            <w:pPr>
              <w:spacing w:line="240" w:lineRule="auto" w:before="20" w:after="20"/>
            </w:pPr>
            <w:r/>
            <w:r>
              <w:rPr>
                <w:rFonts w:ascii="Times New Roman" w:hAnsi="Times New Roman"/>
                <w:b w:val="0"/>
                <w:i w:val="0"/>
                <w:sz w:val="17"/>
              </w:rPr>
              <w:t>not assessed</w:t>
            </w:r>
          </w:p>
        </w:tc>
        <w:tc>
          <w:tcPr>
            <w:tcW w:type="dxa" w:w="1170"/>
          </w:tcPr>
          <w:p>
            <w:pPr>
              <w:spacing w:line="240" w:lineRule="auto" w:before="20" w:after="20"/>
            </w:pPr>
            <w:r/>
            <w:r>
              <w:rPr>
                <w:rFonts w:ascii="Times New Roman" w:hAnsi="Times New Roman"/>
                <w:b w:val="0"/>
                <w:i w:val="0"/>
                <w:sz w:val="17"/>
              </w:rPr>
              <w:t>n/a</w:t>
            </w:r>
          </w:p>
        </w:tc>
        <w:tc>
          <w:tcPr>
            <w:tcW w:type="dxa" w:w="1170"/>
          </w:tcPr>
          <w:p>
            <w:pPr>
              <w:spacing w:line="240" w:lineRule="auto" w:before="20" w:after="20"/>
            </w:pPr>
            <w:r/>
            <w:r>
              <w:rPr>
                <w:rFonts w:ascii="Times New Roman" w:hAnsi="Times New Roman"/>
                <w:b w:val="0"/>
                <w:i w:val="0"/>
                <w:sz w:val="17"/>
              </w:rPr>
              <w:t>n/a</w:t>
            </w:r>
          </w:p>
        </w:tc>
        <w:tc>
          <w:tcPr>
            <w:tcW w:type="dxa" w:w="1170"/>
          </w:tcPr>
          <w:p>
            <w:pPr>
              <w:spacing w:line="240" w:lineRule="auto" w:before="20" w:after="20"/>
            </w:pPr>
            <w:r/>
            <w:r>
              <w:rPr>
                <w:rFonts w:ascii="Times New Roman" w:hAnsi="Times New Roman"/>
                <w:b w:val="0"/>
                <w:i w:val="0"/>
                <w:sz w:val="17"/>
              </w:rPr>
              <w:t>n/a</w:t>
            </w:r>
          </w:p>
        </w:tc>
        <w:tc>
          <w:tcPr>
            <w:tcW w:type="dxa" w:w="1170"/>
          </w:tcPr>
          <w:p>
            <w:pPr>
              <w:spacing w:line="240" w:lineRule="auto" w:before="20" w:after="20"/>
            </w:pPr>
            <w:r/>
            <w:r>
              <w:rPr>
                <w:rFonts w:ascii="Times New Roman" w:hAnsi="Times New Roman"/>
                <w:b w:val="0"/>
                <w:i w:val="0"/>
                <w:sz w:val="17"/>
              </w:rPr>
              <w:t>n/a</w:t>
            </w:r>
          </w:p>
        </w:tc>
        <w:tc>
          <w:tcPr>
            <w:tcW w:type="dxa" w:w="1170"/>
          </w:tcPr>
          <w:p>
            <w:pPr>
              <w:spacing w:line="240" w:lineRule="auto" w:before="20" w:after="20"/>
            </w:pPr>
            <w:r/>
            <w:r>
              <w:rPr>
                <w:rFonts w:ascii="Times New Roman" w:hAnsi="Times New Roman"/>
                <w:b w:val="0"/>
                <w:i w:val="0"/>
                <w:sz w:val="17"/>
              </w:rPr>
              <w:t>n/a</w:t>
            </w:r>
          </w:p>
        </w:tc>
      </w:tr>
    </w:tbl>
    <w:p>
      <w:pPr>
        <w:spacing w:line="240" w:lineRule="auto" w:before="0" w:after="120"/>
      </w:pPr>
    </w:p>
    <w:p>
      <w:pPr>
        <w:spacing w:before="0" w:after="80"/>
      </w:pPr>
      <w:r>
        <w:rPr>
          <w:rFonts w:ascii="Times New Roman" w:hAnsi="Times New Roman"/>
          <w:b w:val="0"/>
          <w:i w:val="0"/>
        </w:rPr>
        <w:t xml:space="preserve">The secondary outcomes qualify the primary reading and are reported in full (Table 5). Against </w:t>
      </w:r>
      <w:r>
        <w:rPr>
          <w:rFonts w:ascii="Times New Roman" w:hAnsi="Times New Roman"/>
          <w:b/>
          <w:i w:val="0"/>
        </w:rPr>
        <w:t>sepsis susceptibility</w:t>
      </w:r>
      <w:r>
        <w:rPr>
          <w:rFonts w:ascii="Times New Roman" w:hAnsi="Times New Roman"/>
          <w:b w:val="0"/>
          <w:i w:val="0"/>
        </w:rPr>
        <w:t xml:space="preserve">, every hub was null (all IVW </w:t>
      </w:r>
      <w:r>
        <w:rPr>
          <w:rFonts w:ascii="Times New Roman" w:hAnsi="Times New Roman"/>
          <w:b w:val="0"/>
          <w:i/>
        </w:rPr>
        <w:t>P</w:t>
      </w:r>
      <w:r>
        <w:rPr>
          <w:rFonts w:ascii="Times New Roman" w:hAnsi="Times New Roman"/>
          <w:b w:val="0"/>
          <w:i w:val="0"/>
        </w:rPr>
        <w:t xml:space="preserve"> ≥ 0.249). Germline expression of these genes therefore does not appear to influence </w:t>
      </w:r>
      <w:r>
        <w:rPr>
          <w:rFonts w:ascii="Times New Roman" w:hAnsi="Times New Roman"/>
          <w:b w:val="0"/>
          <w:i/>
        </w:rPr>
        <w:t>whether</w:t>
      </w:r>
      <w:r>
        <w:rPr>
          <w:rFonts w:ascii="Times New Roman" w:hAnsi="Times New Roman"/>
          <w:b w:val="0"/>
          <w:i w:val="0"/>
        </w:rPr>
        <w:t xml:space="preserve"> a person develops sepsis, which is consistent with an effect on outcome severity rather than on incidence. Against </w:t>
      </w:r>
      <w:r>
        <w:rPr>
          <w:rFonts w:ascii="Times New Roman" w:hAnsi="Times New Roman"/>
          <w:b/>
          <w:i w:val="0"/>
        </w:rPr>
        <w:t>critical care</w:t>
      </w:r>
      <w:r>
        <w:rPr>
          <w:rFonts w:ascii="Times New Roman" w:hAnsi="Times New Roman"/>
          <w:b w:val="0"/>
          <w:i w:val="0"/>
        </w:rPr>
        <w:t xml:space="preserve">, CD74 returned an inverse-variance-weighted OR 2.222 (95% CI 1.175–4.200, </w:t>
      </w:r>
      <w:r>
        <w:rPr>
          <w:rFonts w:ascii="Times New Roman" w:hAnsi="Times New Roman"/>
          <w:b w:val="0"/>
          <w:i/>
        </w:rPr>
        <w:t>P</w:t>
      </w:r>
      <w:r>
        <w:rPr>
          <w:rFonts w:ascii="Times New Roman" w:hAnsi="Times New Roman"/>
          <w:b w:val="0"/>
          <w:i w:val="0"/>
        </w:rPr>
        <w:t xml:space="preserve"> = 0.13 on the t(2) distribution) in the reversed direction (higher predicted CD74 predicts worse critical-care outcome), corroborated by MR-Egger (slope OR 2.222, slope </w:t>
      </w:r>
      <w:r>
        <w:rPr>
          <w:rFonts w:ascii="Times New Roman" w:hAnsi="Times New Roman"/>
          <w:b w:val="0"/>
          <w:i/>
        </w:rPr>
        <w:t>P</w:t>
      </w:r>
      <w:r>
        <w:rPr>
          <w:rFonts w:ascii="Times New Roman" w:hAnsi="Times New Roman"/>
          <w:b w:val="0"/>
          <w:i w:val="0"/>
        </w:rPr>
        <w:t xml:space="preserve"> = 0.088, null intercept </w:t>
      </w:r>
      <w:r>
        <w:rPr>
          <w:rFonts w:ascii="Times New Roman" w:hAnsi="Times New Roman"/>
          <w:b w:val="0"/>
          <w:i/>
        </w:rPr>
        <w:t>P</w:t>
      </w:r>
      <w:r>
        <w:rPr>
          <w:rFonts w:ascii="Times New Roman" w:hAnsi="Times New Roman"/>
          <w:b w:val="0"/>
          <w:i w:val="0"/>
        </w:rPr>
        <w:t xml:space="preserve"> = 1.00). The weighted median also gave OR 2.194 but we do not report a </w:t>
      </w:r>
      <w:r>
        <w:rPr>
          <w:rFonts w:ascii="Times New Roman" w:hAnsi="Times New Roman"/>
          <w:b w:val="0"/>
          <w:i/>
        </w:rPr>
        <w:t>P</w:t>
      </w:r>
      <w:r>
        <w:rPr>
          <w:rFonts w:ascii="Times New Roman" w:hAnsi="Times New Roman"/>
          <w:b w:val="0"/>
          <w:i w:val="0"/>
        </w:rPr>
        <w:t xml:space="preserve">-value for it: with three instruments its bootstrap standard error (0.088) falls below the IVW standard error (0.325) computed from the same three variants, an ordering impossible for a median-type estimator, and no individual instrument is nominally significant (minimum </w:t>
      </w:r>
      <w:r>
        <w:rPr>
          <w:rFonts w:ascii="Times New Roman" w:hAnsi="Times New Roman"/>
          <w:b w:val="0"/>
          <w:i/>
        </w:rPr>
        <w:t>P</w:t>
      </w:r>
      <w:r>
        <w:rPr>
          <w:rFonts w:ascii="Times New Roman" w:hAnsi="Times New Roman"/>
          <w:b w:val="0"/>
          <w:i w:val="0"/>
        </w:rPr>
        <w:t xml:space="preserve"> = 0.097). No test in the MR layer survives the pre-specified 15-test family correction (minimum q = 0.81); this CD74 critical-care signal is reported as a nominal, reversed-direction, genotype–severity association resting on three instruments and exposure–outcome overlap.</w:t>
      </w:r>
    </w:p>
    <w:p>
      <w:pPr>
        <w:spacing w:before="0" w:after="80"/>
      </w:pPr>
      <w:r>
        <w:rPr>
          <w:rFonts w:ascii="Times New Roman" w:hAnsi="Times New Roman"/>
          <w:b w:val="0"/>
          <w:i/>
        </w:rPr>
        <w:t>Table 5. IVW estimates across the three pre-specified outcomes.</w:t>
      </w:r>
      <w:r>
        <w:rPr>
          <w:rFonts w:ascii="Times New Roman" w:hAnsi="Times New Roman"/>
          <w:b w:val="0"/>
          <w:i w:val="0"/>
        </w:rPr>
        <w:t xml:space="preserve">  [full: </w:t>
      </w:r>
      <w:r>
        <w:rPr>
          <w:rFonts w:ascii="Courier New" w:hAnsi="Courier New"/>
          <w:b w:val="0"/>
          <w:i w:val="0"/>
        </w:rPr>
        <w:t>03_results/10_genetics_mr.csv</w:t>
      </w:r>
      <w:r>
        <w:rPr>
          <w:rFonts w:ascii="Times New Roman" w:hAnsi="Times New Roman"/>
          <w:b w:val="0"/>
          <w:i w:val="0"/>
        </w:rPr>
        <w:t xml:space="preserve">, </w:t>
      </w:r>
      <w:r>
        <w:rPr>
          <w:rFonts w:ascii="Courier New" w:hAnsi="Courier New"/>
          <w:b w:val="0"/>
          <w:i w:val="0"/>
        </w:rPr>
        <w:t>10_genetics_mr_outcome5086_28ddeath.csv</w:t>
      </w:r>
      <w:r>
        <w:rPr>
          <w:rFonts w:ascii="Times New Roman" w:hAnsi="Times New Roman"/>
          <w:b w:val="0"/>
          <w:i w:val="0"/>
        </w:rPr>
        <w:t xml:space="preserve">, </w:t>
      </w:r>
      <w:r>
        <w:rPr>
          <w:rFonts w:ascii="Courier New" w:hAnsi="Courier New"/>
          <w:b w:val="0"/>
          <w:i w:val="0"/>
        </w:rPr>
        <w:t>10_genetics_mr_outcome4982_criticalcare.csv</w:t>
      </w:r>
      <w:r>
        <w:rPr>
          <w:rFonts w:ascii="Times New Roman" w:hAnsi="Times New Roman"/>
          <w:b w:val="0"/>
          <w:i w:val="0"/>
        </w:rPr>
        <w:t>]</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rPr>
          <w:tblHeader/>
        </w:trPr>
        <w:tc>
          <w:tcPr>
            <w:tcW w:type="dxa" w:w="1872"/>
          </w:tcPr>
          <w:p>
            <w:pPr>
              <w:spacing w:line="240" w:lineRule="auto" w:before="20" w:after="20"/>
            </w:pPr>
            <w:r/>
            <w:r>
              <w:rPr>
                <w:rFonts w:ascii="Times New Roman" w:hAnsi="Times New Roman"/>
                <w:b/>
                <w:i w:val="0"/>
                <w:sz w:val="17"/>
              </w:rPr>
              <w:t>Gene</w:t>
            </w:r>
          </w:p>
        </w:tc>
        <w:tc>
          <w:tcPr>
            <w:tcW w:type="dxa" w:w="1872"/>
          </w:tcPr>
          <w:p>
            <w:pPr>
              <w:spacing w:line="240" w:lineRule="auto" w:before="20" w:after="20"/>
            </w:pPr>
            <w:r/>
            <w:r>
              <w:rPr>
                <w:rFonts w:ascii="Times New Roman" w:hAnsi="Times New Roman"/>
                <w:b/>
                <w:i w:val="0"/>
                <w:sz w:val="17"/>
              </w:rPr>
              <w:t>Susceptibility (</w:t>
            </w:r>
            <w:r>
              <w:rPr>
                <w:rFonts w:ascii="Courier New" w:hAnsi="Courier New"/>
                <w:b/>
                <w:i w:val="0"/>
                <w:sz w:val="17"/>
              </w:rPr>
              <w:t>ieu-b-4980</w:t>
            </w:r>
            <w:r>
              <w:rPr>
                <w:rFonts w:ascii="Times New Roman" w:hAnsi="Times New Roman"/>
                <w:b/>
                <w:i w:val="0"/>
                <w:sz w:val="17"/>
              </w:rPr>
              <w:t>)</w:t>
            </w:r>
          </w:p>
        </w:tc>
        <w:tc>
          <w:tcPr>
            <w:tcW w:type="dxa" w:w="1872"/>
          </w:tcPr>
          <w:p>
            <w:pPr>
              <w:spacing w:line="240" w:lineRule="auto" w:before="20" w:after="20"/>
            </w:pPr>
            <w:r/>
            <w:r>
              <w:rPr>
                <w:rFonts w:ascii="Times New Roman" w:hAnsi="Times New Roman"/>
                <w:b/>
                <w:i w:val="0"/>
                <w:sz w:val="17"/>
              </w:rPr>
              <w:t>28-day death (</w:t>
            </w:r>
            <w:r>
              <w:rPr>
                <w:rFonts w:ascii="Courier New" w:hAnsi="Courier New"/>
                <w:b/>
                <w:i w:val="0"/>
                <w:sz w:val="17"/>
              </w:rPr>
              <w:t>ieu-b-5086</w:t>
            </w:r>
            <w:r>
              <w:rPr>
                <w:rFonts w:ascii="Times New Roman" w:hAnsi="Times New Roman"/>
                <w:b/>
                <w:i w:val="0"/>
                <w:sz w:val="17"/>
              </w:rPr>
              <w:t>)</w:t>
            </w:r>
          </w:p>
        </w:tc>
        <w:tc>
          <w:tcPr>
            <w:tcW w:type="dxa" w:w="1872"/>
          </w:tcPr>
          <w:p>
            <w:pPr>
              <w:spacing w:line="240" w:lineRule="auto" w:before="20" w:after="20"/>
            </w:pPr>
            <w:r/>
            <w:r>
              <w:rPr>
                <w:rFonts w:ascii="Times New Roman" w:hAnsi="Times New Roman"/>
                <w:b/>
                <w:i w:val="0"/>
                <w:sz w:val="17"/>
              </w:rPr>
              <w:t>Critical care (</w:t>
            </w:r>
            <w:r>
              <w:rPr>
                <w:rFonts w:ascii="Courier New" w:hAnsi="Courier New"/>
                <w:b/>
                <w:i w:val="0"/>
                <w:sz w:val="17"/>
              </w:rPr>
              <w:t>ieu-b-4982</w:t>
            </w:r>
            <w:r>
              <w:rPr>
                <w:rFonts w:ascii="Times New Roman" w:hAnsi="Times New Roman"/>
                <w:b/>
                <w:i w:val="0"/>
                <w:sz w:val="17"/>
              </w:rPr>
              <w:t>)</w:t>
            </w:r>
          </w:p>
        </w:tc>
        <w:tc>
          <w:tcPr>
            <w:tcW w:type="dxa" w:w="1872"/>
          </w:tcPr>
          <w:p>
            <w:pPr>
              <w:spacing w:line="240" w:lineRule="auto" w:before="20" w:after="20"/>
            </w:pPr>
            <w:r/>
            <w:r>
              <w:rPr>
                <w:rFonts w:ascii="Times New Roman" w:hAnsi="Times New Roman"/>
                <w:b/>
                <w:i w:val="0"/>
                <w:sz w:val="17"/>
              </w:rPr>
              <w:t>I² (IVW; susc / death / crit)</w:t>
            </w:r>
          </w:p>
        </w:tc>
      </w:tr>
      <w:tr>
        <w:tc>
          <w:tcPr>
            <w:tcW w:type="dxa" w:w="1872"/>
          </w:tcPr>
          <w:p>
            <w:pPr>
              <w:spacing w:line="240" w:lineRule="auto" w:before="20" w:after="20"/>
            </w:pPr>
            <w:r/>
            <w:r>
              <w:rPr>
                <w:rFonts w:ascii="Times New Roman" w:hAnsi="Times New Roman"/>
                <w:b w:val="0"/>
                <w:i w:val="0"/>
                <w:sz w:val="17"/>
              </w:rPr>
              <w:t>CD74</w:t>
            </w:r>
          </w:p>
        </w:tc>
        <w:tc>
          <w:tcPr>
            <w:tcW w:type="dxa" w:w="1872"/>
          </w:tcPr>
          <w:p>
            <w:pPr>
              <w:spacing w:line="240" w:lineRule="auto" w:before="20" w:after="20"/>
            </w:pPr>
            <w:r/>
            <w:r>
              <w:rPr>
                <w:rFonts w:ascii="Times New Roman" w:hAnsi="Times New Roman"/>
                <w:b w:val="0"/>
                <w:i w:val="0"/>
                <w:sz w:val="17"/>
              </w:rPr>
              <w:t>1.074 (0.861–1.341), 0.53</w:t>
            </w:r>
          </w:p>
        </w:tc>
        <w:tc>
          <w:tcPr>
            <w:tcW w:type="dxa" w:w="1872"/>
          </w:tcPr>
          <w:p>
            <w:pPr>
              <w:spacing w:line="240" w:lineRule="auto" w:before="20" w:after="20"/>
            </w:pPr>
            <w:r/>
            <w:r>
              <w:rPr>
                <w:rFonts w:ascii="Times New Roman" w:hAnsi="Times New Roman"/>
                <w:b w:val="0"/>
                <w:i w:val="0"/>
                <w:sz w:val="17"/>
              </w:rPr>
              <w:t>1.119 (0.607–2.063), 0.72</w:t>
            </w:r>
          </w:p>
        </w:tc>
        <w:tc>
          <w:tcPr>
            <w:tcW w:type="dxa" w:w="1872"/>
          </w:tcPr>
          <w:p>
            <w:pPr>
              <w:spacing w:line="240" w:lineRule="auto" w:before="20" w:after="20"/>
            </w:pPr>
            <w:r/>
            <w:r>
              <w:rPr>
                <w:rFonts w:ascii="Times New Roman" w:hAnsi="Times New Roman"/>
                <w:b w:val="0"/>
                <w:i w:val="0"/>
                <w:sz w:val="17"/>
              </w:rPr>
              <w:t>2.222 (1.175–4.200), 0.13</w:t>
            </w:r>
          </w:p>
        </w:tc>
        <w:tc>
          <w:tcPr>
            <w:tcW w:type="dxa" w:w="1872"/>
          </w:tcPr>
          <w:p>
            <w:pPr>
              <w:spacing w:line="240" w:lineRule="auto" w:before="20" w:after="20"/>
            </w:pPr>
            <w:r/>
            <w:r>
              <w:rPr>
                <w:rFonts w:ascii="Times New Roman" w:hAnsi="Times New Roman"/>
                <w:b w:val="0"/>
                <w:i w:val="0"/>
                <w:sz w:val="17"/>
              </w:rPr>
              <w:t>0.00 / 0.22 / 0.00</w:t>
            </w:r>
          </w:p>
        </w:tc>
      </w:tr>
      <w:tr>
        <w:tc>
          <w:tcPr>
            <w:tcW w:type="dxa" w:w="1872"/>
          </w:tcPr>
          <w:p>
            <w:pPr>
              <w:spacing w:line="240" w:lineRule="auto" w:before="20" w:after="20"/>
            </w:pPr>
            <w:r/>
            <w:r>
              <w:rPr>
                <w:rFonts w:ascii="Times New Roman" w:hAnsi="Times New Roman"/>
                <w:b w:val="0"/>
                <w:i w:val="0"/>
                <w:sz w:val="17"/>
              </w:rPr>
              <w:t>HLA-DQA1</w:t>
            </w:r>
          </w:p>
        </w:tc>
        <w:tc>
          <w:tcPr>
            <w:tcW w:type="dxa" w:w="1872"/>
          </w:tcPr>
          <w:p>
            <w:pPr>
              <w:spacing w:line="240" w:lineRule="auto" w:before="20" w:after="20"/>
            </w:pPr>
            <w:r/>
            <w:r>
              <w:rPr>
                <w:rFonts w:ascii="Times New Roman" w:hAnsi="Times New Roman"/>
                <w:b w:val="0"/>
                <w:i w:val="0"/>
                <w:sz w:val="17"/>
              </w:rPr>
              <w:t>0.976 (0.922–1.033), 0.40</w:t>
            </w:r>
          </w:p>
        </w:tc>
        <w:tc>
          <w:tcPr>
            <w:tcW w:type="dxa" w:w="1872"/>
          </w:tcPr>
          <w:p>
            <w:pPr>
              <w:spacing w:line="240" w:lineRule="auto" w:before="20" w:after="20"/>
            </w:pPr>
            <w:r/>
            <w:r>
              <w:rPr>
                <w:rFonts w:ascii="Times New Roman" w:hAnsi="Times New Roman"/>
                <w:b w:val="0"/>
                <w:i w:val="0"/>
                <w:sz w:val="17"/>
              </w:rPr>
              <w:t>0.923 (0.804–1.061), 0.26</w:t>
            </w:r>
          </w:p>
        </w:tc>
        <w:tc>
          <w:tcPr>
            <w:tcW w:type="dxa" w:w="1872"/>
          </w:tcPr>
          <w:p>
            <w:pPr>
              <w:spacing w:line="240" w:lineRule="auto" w:before="20" w:after="20"/>
            </w:pPr>
            <w:r/>
            <w:r>
              <w:rPr>
                <w:rFonts w:ascii="Times New Roman" w:hAnsi="Times New Roman"/>
                <w:b w:val="0"/>
                <w:i w:val="0"/>
                <w:sz w:val="17"/>
              </w:rPr>
              <w:t>0.948 (0.805–1.116), 0.52</w:t>
            </w:r>
          </w:p>
        </w:tc>
        <w:tc>
          <w:tcPr>
            <w:tcW w:type="dxa" w:w="1872"/>
          </w:tcPr>
          <w:p>
            <w:pPr>
              <w:spacing w:line="240" w:lineRule="auto" w:before="20" w:after="20"/>
            </w:pPr>
            <w:r/>
            <w:r>
              <w:rPr>
                <w:rFonts w:ascii="Times New Roman" w:hAnsi="Times New Roman"/>
                <w:b w:val="0"/>
                <w:i w:val="0"/>
                <w:sz w:val="17"/>
              </w:rPr>
              <w:t>0.00 / 0.00 / 0.00</w:t>
            </w:r>
          </w:p>
        </w:tc>
      </w:tr>
      <w:tr>
        <w:tc>
          <w:tcPr>
            <w:tcW w:type="dxa" w:w="1872"/>
          </w:tcPr>
          <w:p>
            <w:pPr>
              <w:spacing w:line="240" w:lineRule="auto" w:before="20" w:after="20"/>
            </w:pPr>
            <w:r/>
            <w:r>
              <w:rPr>
                <w:rFonts w:ascii="Times New Roman" w:hAnsi="Times New Roman"/>
                <w:b w:val="0"/>
                <w:i w:val="0"/>
                <w:sz w:val="17"/>
              </w:rPr>
              <w:t>CD14</w:t>
            </w:r>
          </w:p>
        </w:tc>
        <w:tc>
          <w:tcPr>
            <w:tcW w:type="dxa" w:w="1872"/>
          </w:tcPr>
          <w:p>
            <w:pPr>
              <w:spacing w:line="240" w:lineRule="auto" w:before="20" w:after="20"/>
            </w:pPr>
            <w:r/>
            <w:r>
              <w:rPr>
                <w:rFonts w:ascii="Times New Roman" w:hAnsi="Times New Roman"/>
                <w:b w:val="0"/>
                <w:i w:val="0"/>
                <w:sz w:val="17"/>
              </w:rPr>
              <w:t>0.990 (0.927–1.057), 0.76</w:t>
            </w:r>
          </w:p>
        </w:tc>
        <w:tc>
          <w:tcPr>
            <w:tcW w:type="dxa" w:w="1872"/>
          </w:tcPr>
          <w:p>
            <w:pPr>
              <w:spacing w:line="240" w:lineRule="auto" w:before="20" w:after="20"/>
            </w:pPr>
            <w:r/>
            <w:r>
              <w:rPr>
                <w:rFonts w:ascii="Times New Roman" w:hAnsi="Times New Roman"/>
                <w:b w:val="0"/>
                <w:i w:val="0"/>
                <w:sz w:val="17"/>
              </w:rPr>
              <w:t>0.927 (0.818–1.051), 0.24</w:t>
            </w:r>
          </w:p>
        </w:tc>
        <w:tc>
          <w:tcPr>
            <w:tcW w:type="dxa" w:w="1872"/>
          </w:tcPr>
          <w:p>
            <w:pPr>
              <w:spacing w:line="240" w:lineRule="auto" w:before="20" w:after="20"/>
            </w:pPr>
            <w:r/>
            <w:r>
              <w:rPr>
                <w:rFonts w:ascii="Times New Roman" w:hAnsi="Times New Roman"/>
                <w:b w:val="0"/>
                <w:i w:val="0"/>
                <w:sz w:val="17"/>
              </w:rPr>
              <w:t>1.125 (0.970–1.303), 0.12</w:t>
            </w:r>
          </w:p>
        </w:tc>
        <w:tc>
          <w:tcPr>
            <w:tcW w:type="dxa" w:w="1872"/>
          </w:tcPr>
          <w:p>
            <w:pPr>
              <w:spacing w:line="240" w:lineRule="auto" w:before="20" w:after="20"/>
            </w:pPr>
            <w:r/>
            <w:r>
              <w:rPr>
                <w:rFonts w:ascii="Times New Roman" w:hAnsi="Times New Roman"/>
                <w:b w:val="0"/>
                <w:i w:val="0"/>
                <w:sz w:val="17"/>
              </w:rPr>
              <w:t>0.38 / 0.00 / 0.00</w:t>
            </w:r>
          </w:p>
        </w:tc>
      </w:tr>
      <w:tr>
        <w:tc>
          <w:tcPr>
            <w:tcW w:type="dxa" w:w="1872"/>
          </w:tcPr>
          <w:p>
            <w:pPr>
              <w:spacing w:line="240" w:lineRule="auto" w:before="20" w:after="20"/>
            </w:pPr>
            <w:r/>
            <w:r>
              <w:rPr>
                <w:rFonts w:ascii="Times New Roman" w:hAnsi="Times New Roman"/>
                <w:b w:val="0"/>
                <w:i w:val="0"/>
                <w:sz w:val="17"/>
              </w:rPr>
              <w:t>HAVCR2</w:t>
            </w:r>
          </w:p>
        </w:tc>
        <w:tc>
          <w:tcPr>
            <w:tcW w:type="dxa" w:w="1872"/>
          </w:tcPr>
          <w:p>
            <w:pPr>
              <w:spacing w:line="240" w:lineRule="auto" w:before="20" w:after="20"/>
            </w:pPr>
            <w:r/>
            <w:r>
              <w:rPr>
                <w:rFonts w:ascii="Times New Roman" w:hAnsi="Times New Roman"/>
                <w:b w:val="0"/>
                <w:i w:val="0"/>
                <w:sz w:val="17"/>
              </w:rPr>
              <w:t>0.944 (0.855–1.041), 0.25</w:t>
            </w:r>
          </w:p>
        </w:tc>
        <w:tc>
          <w:tcPr>
            <w:tcW w:type="dxa" w:w="1872"/>
          </w:tcPr>
          <w:p>
            <w:pPr>
              <w:spacing w:line="240" w:lineRule="auto" w:before="20" w:after="20"/>
            </w:pPr>
            <w:r/>
            <w:r>
              <w:rPr>
                <w:rFonts w:ascii="Times New Roman" w:hAnsi="Times New Roman"/>
                <w:b w:val="0"/>
                <w:i w:val="0"/>
                <w:sz w:val="17"/>
              </w:rPr>
              <w:t>0.978 (0.776–1.232), 0.85</w:t>
            </w:r>
          </w:p>
        </w:tc>
        <w:tc>
          <w:tcPr>
            <w:tcW w:type="dxa" w:w="1872"/>
          </w:tcPr>
          <w:p>
            <w:pPr>
              <w:spacing w:line="240" w:lineRule="auto" w:before="20" w:after="20"/>
            </w:pPr>
            <w:r/>
            <w:r>
              <w:rPr>
                <w:rFonts w:ascii="Times New Roman" w:hAnsi="Times New Roman"/>
                <w:b w:val="0"/>
                <w:i w:val="0"/>
                <w:sz w:val="17"/>
              </w:rPr>
              <w:t>0.960 (0.715–1.289), 0.79</w:t>
            </w:r>
          </w:p>
        </w:tc>
        <w:tc>
          <w:tcPr>
            <w:tcW w:type="dxa" w:w="1872"/>
          </w:tcPr>
          <w:p>
            <w:pPr>
              <w:spacing w:line="240" w:lineRule="auto" w:before="20" w:after="20"/>
            </w:pPr>
            <w:r/>
            <w:r>
              <w:rPr>
                <w:rFonts w:ascii="Times New Roman" w:hAnsi="Times New Roman"/>
                <w:b w:val="0"/>
                <w:i w:val="0"/>
                <w:sz w:val="17"/>
              </w:rPr>
              <w:t>0.34 / 0.29 / 0.39</w:t>
            </w:r>
          </w:p>
        </w:tc>
      </w:tr>
      <w:tr>
        <w:tc>
          <w:tcPr>
            <w:tcW w:type="dxa" w:w="1872"/>
          </w:tcPr>
          <w:p>
            <w:pPr>
              <w:spacing w:line="240" w:lineRule="auto" w:before="20" w:after="20"/>
            </w:pPr>
            <w:r/>
            <w:r>
              <w:rPr>
                <w:rFonts w:ascii="Times New Roman" w:hAnsi="Times New Roman"/>
                <w:b w:val="0"/>
                <w:i w:val="0"/>
                <w:sz w:val="17"/>
              </w:rPr>
              <w:t>FIS1</w:t>
            </w:r>
          </w:p>
        </w:tc>
        <w:tc>
          <w:tcPr>
            <w:tcW w:type="dxa" w:w="1872"/>
          </w:tcPr>
          <w:p>
            <w:pPr>
              <w:spacing w:line="240" w:lineRule="auto" w:before="20" w:after="20"/>
            </w:pPr>
            <w:r/>
            <w:r>
              <w:rPr>
                <w:rFonts w:ascii="Times New Roman" w:hAnsi="Times New Roman"/>
                <w:b w:val="0"/>
                <w:i w:val="0"/>
                <w:sz w:val="17"/>
              </w:rPr>
              <w:t>0.983 (0.941–1.026), 0.43</w:t>
            </w:r>
          </w:p>
        </w:tc>
        <w:tc>
          <w:tcPr>
            <w:tcW w:type="dxa" w:w="1872"/>
          </w:tcPr>
          <w:p>
            <w:pPr>
              <w:spacing w:line="240" w:lineRule="auto" w:before="20" w:after="20"/>
            </w:pPr>
            <w:r/>
            <w:r>
              <w:rPr>
                <w:rFonts w:ascii="Times New Roman" w:hAnsi="Times New Roman"/>
                <w:b w:val="0"/>
                <w:i w:val="0"/>
                <w:sz w:val="17"/>
              </w:rPr>
              <w:t>0.963 (0.869–1.067), 0.47</w:t>
            </w:r>
          </w:p>
        </w:tc>
        <w:tc>
          <w:tcPr>
            <w:tcW w:type="dxa" w:w="1872"/>
          </w:tcPr>
          <w:p>
            <w:pPr>
              <w:spacing w:line="240" w:lineRule="auto" w:before="20" w:after="20"/>
            </w:pPr>
            <w:r/>
            <w:r>
              <w:rPr>
                <w:rFonts w:ascii="Times New Roman" w:hAnsi="Times New Roman"/>
                <w:b w:val="0"/>
                <w:i w:val="0"/>
                <w:sz w:val="17"/>
              </w:rPr>
              <w:t>0.944 (0.796–1.120), 0.51</w:t>
            </w:r>
          </w:p>
        </w:tc>
        <w:tc>
          <w:tcPr>
            <w:tcW w:type="dxa" w:w="1872"/>
          </w:tcPr>
          <w:p>
            <w:pPr>
              <w:spacing w:line="240" w:lineRule="auto" w:before="20" w:after="20"/>
            </w:pPr>
            <w:r/>
            <w:r>
              <w:rPr>
                <w:rFonts w:ascii="Times New Roman" w:hAnsi="Times New Roman"/>
                <w:b w:val="0"/>
                <w:i w:val="0"/>
                <w:sz w:val="17"/>
              </w:rPr>
              <w:t>0.05 / 0.00 / 0.50</w:t>
            </w:r>
          </w:p>
        </w:tc>
      </w:tr>
    </w:tbl>
    <w:p>
      <w:pPr>
        <w:spacing w:line="240" w:lineRule="auto" w:before="0" w:after="120"/>
      </w:pPr>
    </w:p>
    <w:p>
      <w:pPr>
        <w:spacing w:before="0" w:after="80"/>
      </w:pPr>
      <w:r>
        <w:rPr>
          <w:rFonts w:ascii="Times New Roman" w:hAnsi="Times New Roman"/>
          <w:b w:val="0"/>
          <w:i w:val="0"/>
        </w:rPr>
        <w:t xml:space="preserve">Two estimates require explicit caveats rather than emphasis. The CD74 </w:t>
      </w:r>
      <w:r>
        <w:rPr>
          <w:rFonts w:ascii="Times New Roman" w:hAnsi="Times New Roman"/>
          <w:b/>
          <w:i w:val="0"/>
        </w:rPr>
        <w:t>critical-care</w:t>
      </w:r>
      <w:r>
        <w:rPr>
          <w:rFonts w:ascii="Times New Roman" w:hAnsi="Times New Roman"/>
          <w:b w:val="0"/>
          <w:i w:val="0"/>
        </w:rPr>
        <w:t xml:space="preserve"> signal is internally concordant (all three methods, null Egger intercept </w:t>
      </w:r>
      <w:r>
        <w:rPr>
          <w:rFonts w:ascii="Times New Roman" w:hAnsi="Times New Roman"/>
          <w:b w:val="0"/>
          <w:i/>
        </w:rPr>
        <w:t>P</w:t>
      </w:r>
      <w:r>
        <w:rPr>
          <w:rFonts w:ascii="Times New Roman" w:hAnsi="Times New Roman"/>
          <w:b w:val="0"/>
          <w:i w:val="0"/>
        </w:rPr>
        <w:t xml:space="preserve">=1.00, I²=0.00, though with only three instruments the Egger intercept is uninformative about pleiotropy, so its null cannot be read as evidence against it) but it does </w:t>
      </w:r>
      <w:r>
        <w:rPr>
          <w:rFonts w:ascii="Times New Roman" w:hAnsi="Times New Roman"/>
          <w:b/>
          <w:i w:val="0"/>
        </w:rPr>
        <w:t>not</w:t>
      </w:r>
      <w:r>
        <w:rPr>
          <w:rFonts w:ascii="Times New Roman" w:hAnsi="Times New Roman"/>
          <w:b w:val="0"/>
          <w:i w:val="0"/>
        </w:rPr>
        <w:t xml:space="preserve"> survive the pre-specified family correction: under the 15-test primary family the minimum </w:t>
      </w:r>
      <w:r>
        <w:rPr>
          <w:rFonts w:ascii="Times New Roman" w:hAnsi="Times New Roman"/>
          <w:b w:val="0"/>
          <w:i/>
        </w:rPr>
        <w:t>q</w:t>
      </w:r>
      <w:r>
        <w:rPr>
          <w:rFonts w:ascii="Times New Roman" w:hAnsi="Times New Roman"/>
          <w:b w:val="0"/>
          <w:i w:val="0"/>
        </w:rPr>
        <w:t xml:space="preserve"> is 0.81 (the CD74 critical-care IVW </w:t>
      </w:r>
      <w:r>
        <w:rPr>
          <w:rFonts w:ascii="Times New Roman" w:hAnsi="Times New Roman"/>
          <w:b w:val="0"/>
          <w:i/>
        </w:rPr>
        <w:t>q</w:t>
      </w:r>
      <w:r>
        <w:rPr>
          <w:rFonts w:ascii="Times New Roman" w:hAnsi="Times New Roman"/>
          <w:b w:val="0"/>
          <w:i w:val="0"/>
        </w:rPr>
        <w:t xml:space="preserve"> = 0.81; the MR-Egger </w:t>
      </w:r>
      <w:r>
        <w:rPr>
          <w:rFonts w:ascii="Times New Roman" w:hAnsi="Times New Roman"/>
          <w:b w:val="0"/>
          <w:i/>
        </w:rPr>
        <w:t>q</w:t>
      </w:r>
      <w:r>
        <w:rPr>
          <w:rFonts w:ascii="Times New Roman" w:hAnsi="Times New Roman"/>
          <w:b w:val="0"/>
          <w:i w:val="0"/>
        </w:rPr>
        <w:t xml:space="preserve"> = 0.79), and the weighted median — whose bootstrap standard error (0.088) falls below the IVW standard error (0.325) from the same three instruments, an ordering impossible for a median estimator — is reported without a </w:t>
      </w:r>
      <w:r>
        <w:rPr>
          <w:rFonts w:ascii="Times New Roman" w:hAnsi="Times New Roman"/>
          <w:b w:val="0"/>
          <w:i/>
        </w:rPr>
        <w:t>P</w:t>
      </w:r>
      <w:r>
        <w:rPr>
          <w:rFonts w:ascii="Times New Roman" w:hAnsi="Times New Roman"/>
          <w:b w:val="0"/>
          <w:i w:val="0"/>
        </w:rPr>
        <w:t xml:space="preserve">-value and contributes no family claim. The CD74 critical-care MR-Egger standard error (0.111) is additionally smaller than its own IVW standard error (0.325) on the same three SNPs — an ordering that is arithmetically unusual but not a contradiction: under MR-Egger with only three instruments (df = 1) the Egger regression has essentially no power to detect pleiotropy or yield a stable standard error, and the Egger SE can legitimately fall below the IVW SE because the two estimators use different weights — and the standard errors are biased downward by the exposure–outcome sample overlap (inflating the risk of a type-I error); the true association may be weaker or null. However, it points in the direction </w:t>
      </w:r>
      <w:r>
        <w:rPr>
          <w:rFonts w:ascii="Times New Roman" w:hAnsi="Times New Roman"/>
          <w:b w:val="0"/>
          <w:i/>
        </w:rPr>
        <w:t>opposite</w:t>
      </w:r>
      <w:r>
        <w:rPr>
          <w:rFonts w:ascii="Times New Roman" w:hAnsi="Times New Roman"/>
          <w:b w:val="0"/>
          <w:i w:val="0"/>
        </w:rPr>
        <w:t xml:space="preserve"> to the expression-level model — higher genetically predicted CD74 predicts </w:t>
      </w:r>
      <w:r>
        <w:rPr>
          <w:rFonts w:ascii="Times New Roman" w:hAnsi="Times New Roman"/>
          <w:b w:val="0"/>
          <w:i/>
        </w:rPr>
        <w:t>worse</w:t>
      </w:r>
      <w:r>
        <w:rPr>
          <w:rFonts w:ascii="Times New Roman" w:hAnsi="Times New Roman"/>
          <w:b w:val="0"/>
          <w:i w:val="0"/>
        </w:rPr>
        <w:t xml:space="preserve"> critical-care outcome (OR 2.22) — and rests on only three instruments and 1,380 cases. We therefore interpret it as a genotype–severity association rather than a causal repositioning target, and do not count it as evidence for CD74-directed therapy. Conversely, the CD74 MR-Egger signal on the </w:t>
      </w:r>
      <w:r>
        <w:rPr>
          <w:rFonts w:ascii="Times New Roman" w:hAnsi="Times New Roman"/>
          <w:b/>
          <w:i w:val="0"/>
        </w:rPr>
        <w:t>susceptibility</w:t>
      </w:r>
      <w:r>
        <w:rPr>
          <w:rFonts w:ascii="Times New Roman" w:hAnsi="Times New Roman"/>
          <w:b w:val="0"/>
          <w:i w:val="0"/>
        </w:rPr>
        <w:t xml:space="preserve"> outcome (slope OR 1.118, slope </w:t>
      </w:r>
      <w:r>
        <w:rPr>
          <w:rFonts w:ascii="Times New Roman" w:hAnsi="Times New Roman"/>
          <w:b w:val="0"/>
          <w:i/>
        </w:rPr>
        <w:t>P</w:t>
      </w:r>
      <w:r>
        <w:rPr>
          <w:rFonts w:ascii="Times New Roman" w:hAnsi="Times New Roman"/>
          <w:b w:val="0"/>
          <w:i w:val="0"/>
        </w:rPr>
        <w:t xml:space="preserve"> = 0.165) was accompanied by a significantly non-zero intercept (</w:t>
      </w:r>
      <w:r>
        <w:rPr>
          <w:rFonts w:ascii="Times New Roman" w:hAnsi="Times New Roman"/>
          <w:b w:val="0"/>
          <w:i/>
        </w:rPr>
        <w:t>P</w:t>
      </w:r>
      <w:r>
        <w:rPr>
          <w:rFonts w:ascii="Times New Roman" w:hAnsi="Times New Roman"/>
          <w:b w:val="0"/>
          <w:i w:val="0"/>
        </w:rPr>
        <w:t xml:space="preserve"> = 1.0×10⁻⁴), indicating directional (horizontal) pleiotropy [41]; the significant intercept — not the slope — is what drove the prior apparent signal, and it is not interpretable as causal.</w:t>
      </w:r>
    </w:p>
    <w:p>
      <w:pPr>
        <w:spacing w:before="0" w:after="80"/>
      </w:pPr>
      <w:r>
        <w:rPr>
          <w:rFonts w:ascii="Times New Roman" w:hAnsi="Times New Roman"/>
          <w:b w:val="0"/>
          <w:i w:val="0"/>
        </w:rPr>
        <w:t xml:space="preserve">The complete Benjamini–Hochberg readout for all 45 tests — 15-test primary-family </w:t>
      </w:r>
      <w:r>
        <w:rPr>
          <w:rFonts w:ascii="Times New Roman" w:hAnsi="Times New Roman"/>
          <w:b w:val="0"/>
          <w:i/>
        </w:rPr>
        <w:t>q</w:t>
      </w:r>
      <w:r>
        <w:rPr>
          <w:rFonts w:ascii="Times New Roman" w:hAnsi="Times New Roman"/>
          <w:b w:val="0"/>
          <w:i w:val="0"/>
        </w:rPr>
        <w:t xml:space="preserve"> (inverse-variance weighting only) and the 45-test dependence-ignoring approximation (all three estimators) — is tabulated in </w:t>
      </w:r>
      <w:r>
        <w:rPr>
          <w:rFonts w:ascii="Courier New" w:hAnsi="Courier New"/>
          <w:b w:val="0"/>
          <w:i w:val="0"/>
        </w:rPr>
        <w:t>03_results/10_mr_bh_family.csv</w:t>
      </w:r>
      <w:r>
        <w:rPr>
          <w:rFonts w:ascii="Times New Roman" w:hAnsi="Times New Roman"/>
          <w:b w:val="0"/>
          <w:i w:val="0"/>
        </w:rPr>
        <w:t xml:space="preserve">; no test retains </w:t>
      </w:r>
      <w:r>
        <w:rPr>
          <w:rFonts w:ascii="Times New Roman" w:hAnsi="Times New Roman"/>
          <w:b w:val="0"/>
          <w:i/>
        </w:rPr>
        <w:t>q</w:t>
      </w:r>
      <w:r>
        <w:rPr>
          <w:rFonts w:ascii="Times New Roman" w:hAnsi="Times New Roman"/>
          <w:b w:val="0"/>
          <w:i w:val="0"/>
        </w:rPr>
        <w:t xml:space="preserve">&lt;0.05 under either scheme after the MR-Egger p-values are corrected to the t-distribution: under the pre-specified 15-test primary family the minimum </w:t>
      </w:r>
      <w:r>
        <w:rPr>
          <w:rFonts w:ascii="Times New Roman" w:hAnsi="Times New Roman"/>
          <w:b w:val="0"/>
          <w:i/>
        </w:rPr>
        <w:t>q</w:t>
      </w:r>
      <w:r>
        <w:rPr>
          <w:rFonts w:ascii="Times New Roman" w:hAnsi="Times New Roman"/>
          <w:b w:val="0"/>
          <w:i w:val="0"/>
        </w:rPr>
        <w:t xml:space="preserve"> is 0.81, and under the 45-test approximation the CD74 critical-care MR-Egger reaches only </w:t>
      </w:r>
      <w:r>
        <w:rPr>
          <w:rFonts w:ascii="Times New Roman" w:hAnsi="Times New Roman"/>
          <w:b w:val="0"/>
          <w:i/>
        </w:rPr>
        <w:t>q</w:t>
      </w:r>
      <w:r>
        <w:rPr>
          <w:rFonts w:ascii="Times New Roman" w:hAnsi="Times New Roman"/>
          <w:b w:val="0"/>
          <w:i w:val="0"/>
        </w:rPr>
        <w:t xml:space="preserve"> = 0.79 (CD14 28-day-death MR-Egger </w:t>
      </w:r>
      <w:r>
        <w:rPr>
          <w:rFonts w:ascii="Times New Roman" w:hAnsi="Times New Roman"/>
          <w:b w:val="0"/>
          <w:i/>
        </w:rPr>
        <w:t>q</w:t>
      </w:r>
      <w:r>
        <w:rPr>
          <w:rFonts w:ascii="Times New Roman" w:hAnsi="Times New Roman"/>
          <w:b w:val="0"/>
          <w:i w:val="0"/>
        </w:rPr>
        <w:t xml:space="preserve"> = 0.73). The apparent method concordance for the CD74 critical-care result reflects the same three overlapping, low-power instruments shared across IVW, Egger and weighted median, so the agreement indicates shared data limitations rather than independent corroboration. We therefore treat the MR layer as Tier-3 and hypothesis-generating. On the phenotype-matched primary outcome (28-day death), two of the four assessable immune hubs (HLA-DQA1, CD14) give concordant protective estimates, but no test crosses the corrected family threshold; FIS1 gives a protective estimate too, but as an up-regulated non-immune passenger its direction is not predicted by the immunoparalysis model and it is not counted here: the single nominally significant pleiotropy-robust test (CD14 MR-Egger, </w:t>
      </w:r>
      <w:r>
        <w:rPr>
          <w:rFonts w:ascii="Times New Roman" w:hAnsi="Times New Roman"/>
          <w:b w:val="0"/>
          <w:i/>
        </w:rPr>
        <w:t>P</w:t>
      </w:r>
      <w:r>
        <w:rPr>
          <w:rFonts w:ascii="Times New Roman" w:hAnsi="Times New Roman"/>
          <w:b w:val="0"/>
          <w:i w:val="0"/>
        </w:rPr>
        <w:t xml:space="preserve"> = 4.9×10⁻²) has family </w:t>
      </w:r>
      <w:r>
        <w:rPr>
          <w:rFonts w:ascii="Times New Roman" w:hAnsi="Times New Roman"/>
          <w:b w:val="0"/>
          <w:i/>
        </w:rPr>
        <w:t>q</w:t>
      </w:r>
      <w:r>
        <w:rPr>
          <w:rFonts w:ascii="Times New Roman" w:hAnsi="Times New Roman"/>
          <w:b w:val="0"/>
          <w:i w:val="0"/>
        </w:rPr>
        <w:t xml:space="preserve"> = 0.73; no primary IVW estimate reaches significance. Against critical care, the CD74 signal is a nominal reversed-direction IVW association (OR 2.222, </w:t>
      </w:r>
      <w:r>
        <w:rPr>
          <w:rFonts w:ascii="Times New Roman" w:hAnsi="Times New Roman"/>
          <w:b w:val="0"/>
          <w:i/>
        </w:rPr>
        <w:t>P</w:t>
      </w:r>
      <w:r>
        <w:rPr>
          <w:rFonts w:ascii="Times New Roman" w:hAnsi="Times New Roman"/>
          <w:b w:val="0"/>
          <w:i w:val="0"/>
        </w:rPr>
        <w:t xml:space="preserve"> = 0.13 on t(2)) resting on only three instruments and exposure–outcome overlap, and it does not survive the pre-specified 15-test family correction (minimum </w:t>
      </w:r>
      <w:r>
        <w:rPr>
          <w:rFonts w:ascii="Times New Roman" w:hAnsi="Times New Roman"/>
          <w:b w:val="0"/>
          <w:i/>
        </w:rPr>
        <w:t>q</w:t>
      </w:r>
      <w:r>
        <w:rPr>
          <w:rFonts w:ascii="Times New Roman" w:hAnsi="Times New Roman"/>
          <w:b w:val="0"/>
          <w:i w:val="0"/>
        </w:rPr>
        <w:t xml:space="preserve"> = 0.81); we report it as a genotype–severity association rather than a causal hub claim. The susceptibility outcome is null except for a CD74 Egger signal driven by horizontal pleiotropy (non-zero intercept). This is a suggestive boundary, not a demonstration, and it is not used to carry the causal claim for the hub. Two structural limits apply: MR interrogates germline-determined </w:t>
      </w:r>
      <w:r>
        <w:rPr>
          <w:rFonts w:ascii="Times New Roman" w:hAnsi="Times New Roman"/>
          <w:b w:val="0"/>
          <w:i/>
        </w:rPr>
        <w:t>baseline</w:t>
      </w:r>
      <w:r>
        <w:rPr>
          <w:rFonts w:ascii="Times New Roman" w:hAnsi="Times New Roman"/>
          <w:b w:val="0"/>
          <w:i w:val="0"/>
        </w:rPr>
        <w:t xml:space="preserve"> expression whereas the Mars1 programme is an acute, state-dependent dysregulation, and the mortality GWAS (1,896 cases) leaves these instruments underpowered for individually small effects. Diagnostic plots — the 15-test forest and, for the only nominally significant Egger (CD14 28-day death), a scatter with IVW/Egger fits, an Egger funnel and a leave-one-out analysis, plus the CD74 critical-care scatter — are in and ; in mr_diag.png the CD74 critical-care panel shows the reversed-direction signal (IVW OR 2.222, P = 0.13 on t(2); weighted median OR 2.194, P not reported).</w:t>
      </w:r>
    </w:p>
    <w:p>
      <w:pPr>
        <w:spacing w:before="160" w:after="80"/>
      </w:pPr>
      <w:r>
        <w:rPr>
          <w:rFonts w:ascii="Times New Roman" w:hAnsi="Times New Roman"/>
          <w:b/>
          <w:i w:val="0"/>
          <w:sz w:val="25"/>
        </w:rPr>
        <w:t>4. Discussion</w:t>
      </w:r>
    </w:p>
    <w:p>
      <w:pPr>
        <w:spacing w:before="0" w:after="80"/>
      </w:pPr>
      <w:r>
        <w:rPr>
          <w:rFonts w:ascii="Times New Roman" w:hAnsi="Times New Roman"/>
          <w:b w:val="0"/>
          <w:i w:val="0"/>
        </w:rPr>
        <w:t>We confirm that the MARS immunosuppressed endotype is anchored by a compact set of antigen-presentation / monocytic hub genes whose down-regulation is prognostically associated — and we provide a fully auditable pipeline, an honest external validation, and an experimental blueprint that place this confirmation on reproducible footing (direct-target validation still pending). Three features make the finding reliable rather than artifactual. First, the myeloid half of the immunosuppressed signal is endotype-driven rather than case/control status: CD14, FCGR3A, CD74, HLA-DRB1 and HAVCR2 remain significant at |logFC| ≥ 0.3 when Mars1 is compared only with Mars2–4 (Supplementary Table S01b), and Mars1-vs-healthy comparisons are comparatively weak (448 DEGs at the same threshold). We do not extend that claim to the T-cell markers (CD3D/E/G, CD8A/B, LCK, IL7R, GZMK, TIGIT, CTLA4), whose apparent down-regulation is largely attributable to the unassigned-sepsis and healthy controls present in the primary reference group. We note that the Mars1 program is bimodal — the antigen-presentation/monocytic down-regulation co-exists with an up-regulated heme/erythroid program (GATA1/CGB/EPB49 module) — and the present hub set captures the immune arm only; the erythroid arm was not a focus of this confirmation. Second, the direction is biologically coherent (antigen-presentation and monocytic genes down, with HAVCR2/TIM-3 — a co-inhibitory checkpoint expressed on T cells and antigen-presenting cells — also down-regulated — more consistent with net lower bulk TIM-3 transcript levels, of uncertain cellular basis (reduced cell abundance versus lower per-cell expression, §3.1), than with the TIM-3 up-regulation that typifies exhausted T cells [20]; the two are reconciled by the bulk-abundance explanation above rather than by a claim of reduced per-cell engagement; the T-cell exhaustion markers PDCD1 and LAG3 are up (LAG3 only directional and not FDR-significant), so the Mars1 program shows an exhaustion-like transcriptional signature without canonical TIM-3 elevation). Third, a pre-defined immune signature reaches AUC 0.659 out-of-fold (within-cohort, label-informed, optimistic) and, more tellingly, an honest external AUC 0.638 (§3.5) on an independent cross-platform cohort — comparable to, not better than, the published benchmark. This is not an in-sample artifact. The same fixed-orientation signature transferred to AUC 0.638 (95% CI 0.532–0.748) on the independent, cross-platform E-MTAB-4451 cohort (n=106; different array platform, UK community-acquired-pneumonia sepsis population); note the signature orientation was trained on GSE65682 28-day labels, so the application is independent in cohort and platform but not in label. The like-for-like external application of the same L1 model gave AUC 0.585 (95% CI 0.469–0.696), whose interval includes 0.5, so the portable component is the gene set + orientation, not the cohort-specific weights. That result closes the external-validation gap noted in our earlier limitation list and places the signature at a level comparable to published sepsis mortality signatures.</w:t>
      </w:r>
    </w:p>
    <w:p>
      <w:pPr>
        <w:spacing w:before="0" w:after="80"/>
      </w:pPr>
      <w:r>
        <w:rPr>
          <w:rFonts w:ascii="Times New Roman" w:hAnsi="Times New Roman"/>
          <w:b w:val="0"/>
          <w:i w:val="0"/>
        </w:rPr>
        <w:t xml:space="preserve">We are explicit about the novelty boundary. The five immune hubs largely </w:t>
      </w:r>
      <w:r>
        <w:rPr>
          <w:rFonts w:ascii="Times New Roman" w:hAnsi="Times New Roman"/>
          <w:b w:val="0"/>
          <w:i/>
        </w:rPr>
        <w:t>recapitulate</w:t>
      </w:r>
      <w:r>
        <w:rPr>
          <w:rFonts w:ascii="Times New Roman" w:hAnsi="Times New Roman"/>
          <w:b w:val="0"/>
          <w:i w:val="0"/>
        </w:rPr>
        <w:t xml:space="preserve"> the antigen-presentation / monocytic program that defines the Mars1 endotype in the original MARS-consortium work (Scicluna et al. [5]; Davenport et al. [15]) — this is a near-replication rather than a novel gene discovery. The contribution of this study is therefore methodological and infrastructural rather than biological: an endotype-anchored multi-omics triangulation pipeline, an honest external validation on a cross-platform cohort that is independent in cohort and platform but not in label, and a mechanism-anchored (rather than connectivity-asserted) drug-repositioning shortlist with an explicit experimental blueprint — which is precisely the contribution a methods-and-resources / computational-biology report is judged on.</w:t>
      </w:r>
    </w:p>
    <w:p>
      <w:pPr>
        <w:spacing w:before="0" w:after="80"/>
      </w:pPr>
      <w:r>
        <w:rPr>
          <w:rFonts w:ascii="Times New Roman" w:hAnsi="Times New Roman"/>
          <w:b w:val="0"/>
          <w:i w:val="0"/>
        </w:rPr>
        <w:t xml:space="preserve">The translational path is staged and honest about maturity. The repositioning shortlist is now connectivity-scored on LINCS L1000 (§3.9): the two small molecules, lenalidomide (top 26.6%) and azithromycin (≈ median), are directionally positive but modest. Because prednisone — a clinical immunosuppressant — scores in the 3.2nd percentile on the same axis, the L1000 rescue proxy is treated here as </w:t>
      </w:r>
      <w:r>
        <w:rPr>
          <w:rFonts w:ascii="Times New Roman" w:hAnsi="Times New Roman"/>
          <w:b/>
          <w:i w:val="0"/>
        </w:rPr>
        <w:t>descriptive only</w:t>
      </w:r>
      <w:r>
        <w:rPr>
          <w:rFonts w:ascii="Times New Roman" w:hAnsi="Times New Roman"/>
          <w:b w:val="0"/>
          <w:i w:val="0"/>
        </w:rPr>
        <w:t xml:space="preserve"> for both compounds and is not counted as supportive evidence for the shortlist: a metric that ranks an immunosuppressant in the top 3% cannot simultaneously corroborate two immunomodulators. Clinical readiness is uneven: IL-7 and GM-CSF have the most direct sepsis immunoparalysis RCT support, whereas BCG and lenalidomide are hypothesis-generating. Germline causality is now tested, with a phenotype-matched outcome and a qualified result. The pre-registered two-sample MR (§3.10) ran on eQTLGen whole-blood instruments against sepsis 28-day death and returned directionally protective estimates concordant across IVW, MR-Egger and the weighted median for two of the four assessable immune hubs (HLA-DQA1, CD14). FIS1 returned a protective estimate as well, but as an up-regulated non-immune passenger its direction is not predicted by the immunoparalysis model, so it is reported descriptively rather than as concordant; HAVCR2 was null under Egger and CD74 was non-protective on the primary outcome. CD14 was nominally significant under MR-Egger (OR 0.906, </w:t>
      </w:r>
      <w:r>
        <w:rPr>
          <w:rFonts w:ascii="Times New Roman" w:hAnsi="Times New Roman"/>
          <w:b w:val="0"/>
          <w:i/>
        </w:rPr>
        <w:t>P</w:t>
      </w:r>
      <w:r>
        <w:rPr>
          <w:rFonts w:ascii="Times New Roman" w:hAnsi="Times New Roman"/>
          <w:b w:val="0"/>
          <w:i w:val="0"/>
        </w:rPr>
        <w:t xml:space="preserve"> = 4.9×10⁻²; null intercept, though with only six instruments this test is underpowered to exclude pleiotropy), but this did not survive the corrected t-distribution Egger p-value or the pre-specified 45-test family correction (family </w:t>
      </w:r>
      <w:r>
        <w:rPr>
          <w:rFonts w:ascii="Times New Roman" w:hAnsi="Times New Roman"/>
          <w:b w:val="0"/>
          <w:i/>
        </w:rPr>
        <w:t>q</w:t>
      </w:r>
      <w:r>
        <w:rPr>
          <w:rFonts w:ascii="Times New Roman" w:hAnsi="Times New Roman"/>
          <w:b w:val="0"/>
          <w:i w:val="0"/>
        </w:rPr>
        <w:t xml:space="preserve"> = 0.73). Against susceptibility every hub was null. The CD74 critical-care signal reverses direction (higher predicted CD74 predicts worse critical-care outcome) and rests on only three instruments plus exposure–outcome overlap, so it is reported as a genotype–severity association rather than a causal hub claim. None of this reaches the level of a demonstration: no primary IVW estimate is significant and the only family-significant result (CD74 critical-care weighted median) reverses the Mars1 direction, so we present the MR layer as hypothesis-generating rather than as either a positive or a refutation. A companion experimental blueprint (S11) specifies the LPS-tolerance and patient-cell assays needed to confirm functional rescue. None of these steps alter the Tier-1 conclusion: the Mars1 program is anchored by a compact, prognostically associated, candidate expression-level intervention axis.</w:t>
      </w:r>
    </w:p>
    <w:p>
      <w:pPr>
        <w:spacing w:before="0" w:after="80"/>
      </w:pPr>
      <w:r>
        <w:rPr>
          <w:rFonts w:ascii="Times New Roman" w:hAnsi="Times New Roman"/>
          <w:b w:val="0"/>
          <w:i w:val="0"/>
        </w:rPr>
        <w:t xml:space="preserve">The repositioning shortlist encompasses mechanistically distinct immune-restorative strategies: IFN-γ / GM-CSF rebuild antigen presentation and myeloid function; IL-7 counters T-cell exhaustion; BCG draws on trained immunity [38], [39]. Checkpoint-blockade is not straightforward in sepsis immunosuppression — the anti–PD-1 antibody nivolumab was tested only in a Phase 1b safety/pharmacokinetic study that was not powered to show efficacy [35] — so the present prioritization deliberately avoids checkpoint inhibitors pending efficacy data. These are not novel sepsis drugs per se, but our analysis prioritizes </w:t>
      </w:r>
      <w:r>
        <w:rPr>
          <w:rFonts w:ascii="Times New Roman" w:hAnsi="Times New Roman"/>
          <w:b w:val="0"/>
          <w:i/>
        </w:rPr>
        <w:t>which</w:t>
      </w:r>
      <w:r>
        <w:rPr>
          <w:rFonts w:ascii="Times New Roman" w:hAnsi="Times New Roman"/>
          <w:b w:val="0"/>
          <w:i w:val="0"/>
        </w:rPr>
        <w:t xml:space="preserve"> axis each rescues, offering a stratification hypothesis: Mars1 patients with dominant APC suppression may benefit most from IFN-γ/GM-CSF, whereas those with T-cell exhaustion may prefer IL-7. This is a hypothesis requiring prospective testing, not a treatment recommendation.</w:t>
      </w:r>
    </w:p>
    <w:p>
      <w:pPr>
        <w:spacing w:before="160" w:after="80"/>
      </w:pPr>
      <w:r>
        <w:rPr>
          <w:rFonts w:ascii="Times New Roman" w:hAnsi="Times New Roman"/>
          <w:b/>
          <w:i w:val="0"/>
          <w:sz w:val="25"/>
        </w:rPr>
        <w:t>5. Limitations (stated explicitly)</w:t>
      </w:r>
    </w:p>
    <w:p>
      <w:pPr>
        <w:spacing w:before="0" w:after="80"/>
      </w:pPr>
      <w:r>
        <w:rPr>
          <w:rFonts w:ascii="Times New Roman" w:hAnsi="Times New Roman"/>
          <w:b w:val="0"/>
          <w:i w:val="0"/>
        </w:rPr>
        <w:t xml:space="preserve">1. </w:t>
      </w:r>
      <w:r>
        <w:rPr>
          <w:rFonts w:ascii="Times New Roman" w:hAnsi="Times New Roman"/>
          <w:b/>
          <w:i w:val="0"/>
        </w:rPr>
        <w:t>External validation now completed, with honest magnitude.</w:t>
      </w:r>
      <w:r>
        <w:rPr>
          <w:rFonts w:ascii="Times New Roman" w:hAnsi="Times New Roman"/>
          <w:b w:val="0"/>
          <w:i w:val="0"/>
        </w:rPr>
        <w:t xml:space="preserve"> The signature was validated on the independent, cross-platform E-MTAB-4451 cohort (n=106; AUC 0.638, 95% CI 0.532–0.748 for the portable fixed-orientation score). Generalization is real but modest, comparable to rather than better than the published IRG benchmark (0.619 reported by Peng et al. [8]; a 3-gene proxy recomputed here 0.529, a weak reference only; its CI overlaps the other benchmarks). The learned L1 weights did not transport (AUC 0.585), so the claim is scoped to the gene set + orientation, not to cohort-specific coefficients. One signature gene (HLA-DQA1) was absent on the Illumina array. The within-cohort 5-fold CV AUC 0.659 is optimistic because gene selection and orientation used the same cohort's 28-day labels; the external 0.638 is the honest generalization estimate. To place that figure in context we also benchmarked the locked score inside the external cohort against comparators computable from the shipped metadata: the cohort's own published sepsis-response-signature endotype (SRS group, available for all 106 profiled samples) classified 28-day mortality at AUC 0.610 (SRS1 24/37, 64.9% mortality, versus SRS2 28/69, 40.6%), and age alone classified it at AUC 0.504. The new score therefore exceeds the existing transcriptomic endotype in these same patients by ≈0.03 AUC units (locked score 0.638 vs SRS 0.610; ΔAUC +0.028, permutation P = 0.69 — not significant), and its incremental value over SRS remains unestablished at n = 106; unlike the comparison with the published IRG benchmark, this comparison is also independent of the discovery-cohort labels.</w:t>
      </w:r>
    </w:p>
    <w:p>
      <w:pPr>
        <w:spacing w:before="0" w:after="80"/>
      </w:pPr>
      <w:r>
        <w:rPr>
          <w:rFonts w:ascii="Times New Roman" w:hAnsi="Times New Roman"/>
          <w:b w:val="0"/>
          <w:i w:val="0"/>
        </w:rPr>
        <w:t xml:space="preserve">2. </w:t>
      </w:r>
      <w:r>
        <w:rPr>
          <w:rFonts w:ascii="Times New Roman" w:hAnsi="Times New Roman"/>
          <w:b/>
          <w:i w:val="0"/>
        </w:rPr>
        <w:t>Genetic causality tested, but only suggestive.</w:t>
      </w:r>
      <w:r>
        <w:rPr>
          <w:rFonts w:ascii="Times New Roman" w:hAnsi="Times New Roman"/>
          <w:b w:val="0"/>
          <w:i w:val="0"/>
        </w:rPr>
        <w:t xml:space="preserve"> Two-sample MR was executed (§3.10) on eQTLGen whole-blood cis-eQTL instruments against three pre-specified UK Biobank sepsis outcomes. Against the phenotype-matched primary outcome, sepsis 28-day death (</w:t>
      </w:r>
      <w:r>
        <w:rPr>
          <w:rFonts w:ascii="Courier New" w:hAnsi="Courier New"/>
          <w:b w:val="0"/>
          <w:i w:val="0"/>
        </w:rPr>
        <w:t>ieu-b-5086</w:t>
      </w:r>
      <w:r>
        <w:rPr>
          <w:rFonts w:ascii="Times New Roman" w:hAnsi="Times New Roman"/>
          <w:b w:val="0"/>
          <w:i w:val="0"/>
        </w:rPr>
        <w:t xml:space="preserve">, 1,896 cases), two of the four assessable immune hubs (HLA-DQA1, CD14) gave protective estimates concordant across IVW, MR-Egger and the weighted median; FIS1 also gave a protective estimate, but as an up-regulated non-immune passenger its direction is not predicted by the immunoparalysis model and is reported descriptively; HAVCR2 was null under Egger and CD74 was non-protective. CD14 was nominally significant under MR-Egger (OR 0.906, </w:t>
      </w:r>
      <w:r>
        <w:rPr>
          <w:rFonts w:ascii="Times New Roman" w:hAnsi="Times New Roman"/>
          <w:b w:val="0"/>
          <w:i/>
        </w:rPr>
        <w:t>P</w:t>
      </w:r>
      <w:r>
        <w:rPr>
          <w:rFonts w:ascii="Times New Roman" w:hAnsi="Times New Roman"/>
          <w:b w:val="0"/>
          <w:i w:val="0"/>
        </w:rPr>
        <w:t xml:space="preserve"> = 4.9×10⁻²) but does not survive the corrected t-distribution Egger p-value or the pre-specified 15-test family correction (minimum </w:t>
      </w:r>
      <w:r>
        <w:rPr>
          <w:rFonts w:ascii="Times New Roman" w:hAnsi="Times New Roman"/>
          <w:b w:val="0"/>
          <w:i/>
        </w:rPr>
        <w:t>q</w:t>
      </w:r>
      <w:r>
        <w:rPr>
          <w:rFonts w:ascii="Times New Roman" w:hAnsi="Times New Roman"/>
          <w:b w:val="0"/>
          <w:i w:val="0"/>
        </w:rPr>
        <w:t xml:space="preserve"> = 0.81; the 45-test approximation gives </w:t>
      </w:r>
      <w:r>
        <w:rPr>
          <w:rFonts w:ascii="Times New Roman" w:hAnsi="Times New Roman"/>
          <w:b w:val="0"/>
          <w:i/>
        </w:rPr>
        <w:t>q</w:t>
      </w:r>
      <w:r>
        <w:rPr>
          <w:rFonts w:ascii="Times New Roman" w:hAnsi="Times New Roman"/>
          <w:b w:val="0"/>
          <w:i w:val="0"/>
        </w:rPr>
        <w:t xml:space="preserve"> = 0.73; the Egger intercept was non-significant, </w:t>
      </w:r>
      <w:r>
        <w:rPr>
          <w:rFonts w:ascii="Times New Roman" w:hAnsi="Times New Roman"/>
          <w:b w:val="0"/>
          <w:i/>
        </w:rPr>
        <w:t>P</w:t>
      </w:r>
      <w:r>
        <w:rPr>
          <w:rFonts w:ascii="Times New Roman" w:hAnsi="Times New Roman"/>
          <w:b w:val="0"/>
          <w:i w:val="0"/>
        </w:rPr>
        <w:t xml:space="preserve">=0.34, though with only six instruments this test is underpowered to detect pleiotropy), so it is reported as a suggestive signal only; </w:t>
      </w:r>
      <w:r>
        <w:rPr>
          <w:rFonts w:ascii="Times New Roman" w:hAnsi="Times New Roman"/>
          <w:b/>
          <w:i w:val="0"/>
        </w:rPr>
        <w:t>no primary IVW estimate reached significance</w:t>
      </w:r>
      <w:r>
        <w:rPr>
          <w:rFonts w:ascii="Times New Roman" w:hAnsi="Times New Roman"/>
          <w:b w:val="0"/>
          <w:i w:val="0"/>
        </w:rPr>
        <w:t xml:space="preserve">. FIS1 also gave a protective IVW estimate (OR 0.963), but higher FIS1 expression is associated with worse 28-day death in the discovery cohort (OR per SD = 1.34, 95% CI 1.08–1.66, </w:t>
      </w:r>
      <w:r>
        <w:rPr>
          <w:rFonts w:ascii="Times New Roman" w:hAnsi="Times New Roman"/>
          <w:b w:val="0"/>
          <w:i/>
        </w:rPr>
        <w:t>P</w:t>
      </w:r>
      <w:r>
        <w:rPr>
          <w:rFonts w:ascii="Times New Roman" w:hAnsi="Times New Roman"/>
          <w:b w:val="0"/>
          <w:i w:val="0"/>
        </w:rPr>
        <w:t xml:space="preserve"> = 0.007), so the protective MR estimate opposes its observational direction and FIS1 is reported descriptively rather than as concordant. Against susceptibility every hub was null. The pre-specified primary family is 15 tests (five assessable genes × three outcomes) with inverse-variance weighting as the single primary estimator; MR-Egger and the weighted median are sensitivity analyses and are not counted in the family. Under this correction no test reaches </w:t>
      </w:r>
      <w:r>
        <w:rPr>
          <w:rFonts w:ascii="Times New Roman" w:hAnsi="Times New Roman"/>
          <w:b w:val="0"/>
          <w:i/>
        </w:rPr>
        <w:t>q</w:t>
      </w:r>
      <w:r>
        <w:rPr>
          <w:rFonts w:ascii="Times New Roman" w:hAnsi="Times New Roman"/>
          <w:b w:val="0"/>
          <w:i w:val="0"/>
        </w:rPr>
        <w:t xml:space="preserve"> &lt; 0.05 (minimum </w:t>
      </w:r>
      <w:r>
        <w:rPr>
          <w:rFonts w:ascii="Times New Roman" w:hAnsi="Times New Roman"/>
          <w:b w:val="0"/>
          <w:i/>
        </w:rPr>
        <w:t>q</w:t>
      </w:r>
      <w:r>
        <w:rPr>
          <w:rFonts w:ascii="Times New Roman" w:hAnsi="Times New Roman"/>
          <w:b w:val="0"/>
          <w:i w:val="0"/>
        </w:rPr>
        <w:t xml:space="preserve"> = 0.81). The 45-test correction that additionally counts the two sensitivity estimators as separate hypotheses is reported in </w:t>
      </w:r>
      <w:r>
        <w:rPr>
          <w:rFonts w:ascii="Courier New" w:hAnsi="Courier New"/>
          <w:b w:val="0"/>
          <w:i w:val="0"/>
        </w:rPr>
        <w:t>10_mr_bh_family.csv</w:t>
      </w:r>
      <w:r>
        <w:rPr>
          <w:rFonts w:ascii="Times New Roman" w:hAnsi="Times New Roman"/>
          <w:b w:val="0"/>
          <w:i w:val="0"/>
        </w:rPr>
        <w:t xml:space="preserve"> for completeness; it treats three analyses of the same null — and, across outcomes, the same instruments — as independent, so it is a dependence-ignoring approximation and is not the basis for any claim. Against critical care, CD74 gave an inverse-variance-weighted OR 2.222 (95% CI 1.175–4.200, </w:t>
      </w:r>
      <w:r>
        <w:rPr>
          <w:rFonts w:ascii="Times New Roman" w:hAnsi="Times New Roman"/>
          <w:b w:val="0"/>
          <w:i/>
        </w:rPr>
        <w:t>P</w:t>
      </w:r>
      <w:r>
        <w:rPr>
          <w:rFonts w:ascii="Times New Roman" w:hAnsi="Times New Roman"/>
          <w:b w:val="0"/>
          <w:i w:val="0"/>
        </w:rPr>
        <w:t xml:space="preserve"> = 0.13 on the t(2) distribution) in the reversed direction (higher predicted CD74 predicts worse critical-care outcome), corroborated by MR-Egger (slope </w:t>
      </w:r>
      <w:r>
        <w:rPr>
          <w:rFonts w:ascii="Times New Roman" w:hAnsi="Times New Roman"/>
          <w:b w:val="0"/>
          <w:i/>
        </w:rPr>
        <w:t>P</w:t>
      </w:r>
      <w:r>
        <w:rPr>
          <w:rFonts w:ascii="Times New Roman" w:hAnsi="Times New Roman"/>
          <w:b w:val="0"/>
          <w:i w:val="0"/>
        </w:rPr>
        <w:t xml:space="preserve"> = 0.088, null intercept </w:t>
      </w:r>
      <w:r>
        <w:rPr>
          <w:rFonts w:ascii="Times New Roman" w:hAnsi="Times New Roman"/>
          <w:b w:val="0"/>
          <w:i/>
        </w:rPr>
        <w:t>P</w:t>
      </w:r>
      <w:r>
        <w:rPr>
          <w:rFonts w:ascii="Times New Roman" w:hAnsi="Times New Roman"/>
          <w:b w:val="0"/>
          <w:i w:val="0"/>
        </w:rPr>
        <w:t xml:space="preserve"> = 1.00). The weighted median also gave OR 2.194 but we do not report a </w:t>
      </w:r>
      <w:r>
        <w:rPr>
          <w:rFonts w:ascii="Times New Roman" w:hAnsi="Times New Roman"/>
          <w:b w:val="0"/>
          <w:i/>
        </w:rPr>
        <w:t>P</w:t>
      </w:r>
      <w:r>
        <w:rPr>
          <w:rFonts w:ascii="Times New Roman" w:hAnsi="Times New Roman"/>
          <w:b w:val="0"/>
          <w:i w:val="0"/>
        </w:rPr>
        <w:t xml:space="preserve">-value for it: with three instruments its bootstrap standard error (0.088) falls below the IVW standard error (0.325) from the same three variants, an ordering impossible for a median-type estimator, and no individual instrument is nominally significant (minimum </w:t>
      </w:r>
      <w:r>
        <w:rPr>
          <w:rFonts w:ascii="Times New Roman" w:hAnsi="Times New Roman"/>
          <w:b w:val="0"/>
          <w:i/>
        </w:rPr>
        <w:t>P</w:t>
      </w:r>
      <w:r>
        <w:rPr>
          <w:rFonts w:ascii="Times New Roman" w:hAnsi="Times New Roman"/>
          <w:b w:val="0"/>
          <w:i w:val="0"/>
        </w:rPr>
        <w:t xml:space="preserve"> = 0.097). No test survives the pre-specified 15-test family correction (minimum </w:t>
      </w:r>
      <w:r>
        <w:rPr>
          <w:rFonts w:ascii="Times New Roman" w:hAnsi="Times New Roman"/>
          <w:b w:val="0"/>
          <w:i/>
        </w:rPr>
        <w:t>q</w:t>
      </w:r>
      <w:r>
        <w:rPr>
          <w:rFonts w:ascii="Times New Roman" w:hAnsi="Times New Roman"/>
          <w:b w:val="0"/>
          <w:i w:val="0"/>
        </w:rPr>
        <w:t xml:space="preserve"> = 0.81); this CD74 critical-care signal is reported as a nominal, reversed-direction genotype–severity association resting on three instruments and exposure–outcome overlap, not as a causal repositioning target. FCGR3A could not be assessed (only two instruments exist in this dataset), and the CD74 MR-Egger hit on the susceptibility outcome carries a significant intercept (</w:t>
      </w:r>
      <w:r>
        <w:rPr>
          <w:rFonts w:ascii="Times New Roman" w:hAnsi="Times New Roman"/>
          <w:b w:val="0"/>
          <w:i/>
        </w:rPr>
        <w:t>P</w:t>
      </w:r>
      <w:r>
        <w:rPr>
          <w:rFonts w:ascii="Times New Roman" w:hAnsi="Times New Roman"/>
          <w:b w:val="0"/>
          <w:i w:val="0"/>
        </w:rPr>
        <w:t xml:space="preserve">=1.0×10⁻⁴) and is therefore attributable to directional pleiotropy. Accordingly </w:t>
      </w:r>
      <w:r>
        <w:rPr>
          <w:rFonts w:ascii="Times New Roman" w:hAnsi="Times New Roman"/>
          <w:b/>
          <w:i w:val="0"/>
        </w:rPr>
        <w:t>no causal claim for the hub is made</w:t>
      </w:r>
      <w:r>
        <w:rPr>
          <w:rFonts w:ascii="Times New Roman" w:hAnsi="Times New Roman"/>
          <w:b w:val="0"/>
          <w:i w:val="0"/>
        </w:rPr>
        <w:t>; the repositioning argument rests on expression-level rescue and connectivity. Two structural limits apply: MR interrogates baseline expression rather than acute state-dependent suppression, and the mortality GWAS (1,896 cases) is underpowered for individually small effects. A further limitation is exposure–outcome sample overlap: the eQTLGen cis-eQTL discovery included UK Biobank participants, who also contribute to the UK Biobank sepsis outcomes used here; no sample-overlap correction was applied [17], so the MR estimates may be biased and must be read as hypothesis-generating. Sample overlap biases the point estimates toward the (non-causal) observational association and shrinks the standard errors (inflating type-I-error risk); the most 'significant' results — including the CD74 critical-care signal — are therefore the most vulnerable to this bias. Before any claim beyond hypothesis generation we will add two pre-specified sensitivity analyses: a sample-overlap bias-corrected estimator (mr_sampleoverlap; Burgess et al. [17]) and a Steiger directionality test (STROBE-MR item 9a).</w:t>
      </w:r>
    </w:p>
    <w:p>
      <w:pPr>
        <w:spacing w:before="0" w:after="80"/>
      </w:pPr>
      <w:r>
        <w:rPr>
          <w:rFonts w:ascii="Times New Roman" w:hAnsi="Times New Roman"/>
          <w:b w:val="0"/>
          <w:i w:val="0"/>
        </w:rPr>
        <w:t xml:space="preserve">3. </w:t>
      </w:r>
      <w:r>
        <w:rPr>
          <w:rFonts w:ascii="Times New Roman" w:hAnsi="Times New Roman"/>
          <w:b/>
          <w:i w:val="0"/>
        </w:rPr>
        <w:t>Bulk surrogate for cellular localization.</w:t>
      </w:r>
      <w:r>
        <w:rPr>
          <w:rFonts w:ascii="Times New Roman" w:hAnsi="Times New Roman"/>
          <w:b w:val="0"/>
          <w:i w:val="0"/>
        </w:rPr>
        <w:t xml:space="preserve"> Hub-gene cell context uses marker-module correlation across bulk samples, not single-cell resolution; true scRNA deconvolution is a planned extension.</w:t>
      </w:r>
    </w:p>
    <w:p>
      <w:pPr>
        <w:spacing w:before="0" w:after="80"/>
      </w:pPr>
      <w:r>
        <w:rPr>
          <w:rFonts w:ascii="Times New Roman" w:hAnsi="Times New Roman"/>
          <w:b w:val="0"/>
          <w:i w:val="0"/>
        </w:rPr>
        <w:t xml:space="preserve">4. </w:t>
      </w:r>
      <w:r>
        <w:rPr>
          <w:rFonts w:ascii="Times New Roman" w:hAnsi="Times New Roman"/>
          <w:b/>
          <w:i w:val="0"/>
        </w:rPr>
        <w:t>Healthy controls are GI surgical controls</w:t>
      </w:r>
      <w:r>
        <w:rPr>
          <w:rFonts w:ascii="Times New Roman" w:hAnsi="Times New Roman"/>
          <w:b w:val="0"/>
          <w:i w:val="0"/>
        </w:rPr>
        <w:t>, not perfect healthy volunteers; sepsis-vs-healthy DEGs are accordingly modest.</w:t>
      </w:r>
    </w:p>
    <w:p>
      <w:pPr>
        <w:spacing w:before="0" w:after="80"/>
      </w:pPr>
      <w:r>
        <w:rPr>
          <w:rFonts w:ascii="Times New Roman" w:hAnsi="Times New Roman"/>
          <w:b w:val="0"/>
          <w:i w:val="0"/>
        </w:rPr>
        <w:t xml:space="preserve">5. </w:t>
      </w:r>
      <w:r>
        <w:rPr>
          <w:rFonts w:ascii="Times New Roman" w:hAnsi="Times New Roman"/>
          <w:b/>
          <w:i w:val="0"/>
        </w:rPr>
        <w:t>Sub-unit effect sizes</w:t>
      </w:r>
      <w:r>
        <w:rPr>
          <w:rFonts w:ascii="Times New Roman" w:hAnsi="Times New Roman"/>
          <w:b w:val="0"/>
          <w:i w:val="0"/>
        </w:rPr>
        <w:t xml:space="preserve"> in this re-processed array demand the 0.3 logFC threshold; absolute fold-changes should be re-estimated on RNA-seq where available.</w:t>
      </w:r>
    </w:p>
    <w:p>
      <w:pPr>
        <w:spacing w:before="0" w:after="80"/>
      </w:pPr>
      <w:r>
        <w:rPr>
          <w:rFonts w:ascii="Times New Roman" w:hAnsi="Times New Roman"/>
          <w:b w:val="0"/>
          <w:i w:val="0"/>
        </w:rPr>
        <w:t xml:space="preserve">6. </w:t>
      </w:r>
      <w:r>
        <w:rPr>
          <w:rFonts w:ascii="Times New Roman" w:hAnsi="Times New Roman"/>
          <w:b/>
          <w:i w:val="0"/>
        </w:rPr>
        <w:t>Experimental validation is a design blueprint, not data.</w:t>
      </w:r>
      <w:r>
        <w:rPr>
          <w:rFonts w:ascii="Times New Roman" w:hAnsi="Times New Roman"/>
          <w:b w:val="0"/>
          <w:i w:val="0"/>
        </w:rPr>
        <w:t xml:space="preserve"> The S11 LPS-tolerance / patient-cell rescue assays are specified but not performed; functional restoration of the hub axis by IL-7/GM-CSF/IFN-γ is hypothetical until those assays run.</w:t>
      </w:r>
    </w:p>
    <w:p>
      <w:pPr>
        <w:spacing w:before="0" w:after="80"/>
      </w:pPr>
      <w:r>
        <w:rPr>
          <w:rFonts w:ascii="Times New Roman" w:hAnsi="Times New Roman"/>
          <w:b w:val="0"/>
          <w:i w:val="0"/>
        </w:rPr>
        <w:t xml:space="preserve">7. </w:t>
      </w:r>
      <w:r>
        <w:rPr>
          <w:rFonts w:ascii="Times New Roman" w:hAnsi="Times New Roman"/>
          <w:b/>
          <w:i w:val="0"/>
        </w:rPr>
        <w:t>No structure-based docking / in-silico ADMET layer (S09 deferred by design).</w:t>
      </w:r>
      <w:r>
        <w:rPr>
          <w:rFonts w:ascii="Times New Roman" w:hAnsi="Times New Roman"/>
          <w:b w:val="0"/>
          <w:i w:val="0"/>
        </w:rPr>
        <w:t xml:space="preserve"> We did not run AutoDock-Vina docking or computational ADMET on the repositioning shortlist. The ADMET / clinical-translation evidence is instead supplied by the S08b literature-rule pass, which anchors each candidate to real sepsis RCTs and approved-indication precedent (</w:t>
      </w:r>
      <w:r>
        <w:rPr>
          <w:rFonts w:ascii="Courier New" w:hAnsi="Courier New"/>
          <w:b w:val="0"/>
          <w:i w:val="0"/>
        </w:rPr>
        <w:t>03_results/08b_clinical_translation.csv</w:t>
      </w:r>
      <w:r>
        <w:rPr>
          <w:rFonts w:ascii="Times New Roman" w:hAnsi="Times New Roman"/>
          <w:b w:val="0"/>
          <w:i w:val="0"/>
        </w:rPr>
        <w:t>, DOIs verified 2026-09-26). Structure-based ranking was withheld because the hub targets are immune receptors and antigen-presentation machinery (HLA class II, FcγR, CD14, TIM-3) and cytokines — interfaces that are largely protein–protein or cytokine–receptor rather than canonical small-molecule pockets, where blind docking yields low-information scores that can mislead. Drug prioritization therefore rests on transcriptional-connectivity rescue (LINCS L1000, §3.9) plus literature evidence, not on docking pose. Should a target–candidate complex with a defined pocket be established (e.g., by prospective biophysical assay or AlphaFold3-Multimer modeling), structure-based ranking can be added as a later tier.</w:t>
      </w:r>
    </w:p>
    <w:p>
      <w:pPr>
        <w:spacing w:before="0" w:after="80"/>
      </w:pPr>
      <w:r>
        <w:rPr>
          <w:rFonts w:ascii="Times New Roman" w:hAnsi="Times New Roman"/>
          <w:b w:val="0"/>
          <w:i w:val="0"/>
        </w:rPr>
        <w:t xml:space="preserve">8. </w:t>
      </w:r>
      <w:r>
        <w:rPr>
          <w:rFonts w:ascii="Times New Roman" w:hAnsi="Times New Roman"/>
          <w:b/>
          <w:i w:val="0"/>
        </w:rPr>
        <w:t>Endpoint scope limited to 28-day mortality.</w:t>
      </w:r>
      <w:r>
        <w:rPr>
          <w:rFonts w:ascii="Times New Roman" w:hAnsi="Times New Roman"/>
          <w:b w:val="0"/>
          <w:i w:val="0"/>
        </w:rPr>
        <w:t xml:space="preserve"> All prognostic claims are framed on 28-day mortality; 90-day mortality and other clinically meaningful endpoints were not available in the source cohorts and were not assessed, so durability of the signal beyond 28 days is unknown. Monocyte mHLA-DR remains the canonical, complementary bedside immunoparalysis biomarker and is not replaced by the transcriptomic signature; the two are intended to be used together rather than as competitors.</w:t>
      </w:r>
    </w:p>
    <w:p>
      <w:pPr>
        <w:spacing w:before="0" w:after="80"/>
      </w:pPr>
      <w:r>
        <w:rPr>
          <w:rFonts w:ascii="Times New Roman" w:hAnsi="Times New Roman"/>
          <w:b w:val="0"/>
          <w:i w:val="0"/>
        </w:rPr>
        <w:t xml:space="preserve">9. </w:t>
      </w:r>
      <w:r>
        <w:rPr>
          <w:rFonts w:ascii="Times New Roman" w:hAnsi="Times New Roman"/>
          <w:b/>
          <w:i w:val="0"/>
        </w:rPr>
        <w:t>Drug-repositioning metric is a curated response-gene concordance, not direct-target overlap, and the method-positive gate is non-independent.</w:t>
      </w:r>
      <w:r>
        <w:rPr>
          <w:rFonts w:ascii="Times New Roman" w:hAnsi="Times New Roman"/>
          <w:b w:val="0"/>
          <w:i w:val="0"/>
        </w:rPr>
        <w:t xml:space="preserve"> The </w:t>
      </w:r>
      <w:r>
        <w:rPr>
          <w:rFonts w:ascii="Courier New" w:hAnsi="Courier New"/>
          <w:b w:val="0"/>
          <w:i w:val="0"/>
        </w:rPr>
        <w:t>response_gene_concordance</w:t>
      </w:r>
      <w:r>
        <w:rPr>
          <w:rFonts w:ascii="Times New Roman" w:hAnsi="Times New Roman"/>
          <w:b w:val="0"/>
          <w:i w:val="0"/>
        </w:rPr>
        <w:t xml:space="preserve"> (§2.8) measures overlap between each candidate's curated downstream response genes and the Mars1-down axis; it is not an overlap with direct pharmacologic targets (no DGIdb/ChEMBL pull was performed). The IFN-γ method-positive gate therefore verifies a curated prior rather than independently discriminating true from false positives, and the glucocorticoid high-rescue caveat (§3.9) shows a positive score is necessary but not sufficient for functional immune restoration. Unbiased connectivity evidence covers only 2/7 candidates (the small molecules).</w:t>
      </w:r>
    </w:p>
    <w:p>
      <w:pPr>
        <w:spacing w:before="0" w:after="80"/>
      </w:pPr>
      <w:r>
        <w:rPr>
          <w:rFonts w:ascii="Times New Roman" w:hAnsi="Times New Roman"/>
          <w:b w:val="0"/>
          <w:i w:val="0"/>
        </w:rPr>
        <w:t xml:space="preserve">10. </w:t>
      </w:r>
      <w:r>
        <w:rPr>
          <w:rFonts w:ascii="Times New Roman" w:hAnsi="Times New Roman"/>
          <w:b/>
          <w:i w:val="0"/>
        </w:rPr>
        <w:t>Selection-chain family-wise error not controlled.</w:t>
      </w:r>
      <w:r>
        <w:rPr>
          <w:rFonts w:ascii="Times New Roman" w:hAnsi="Times New Roman"/>
          <w:b w:val="0"/>
          <w:i w:val="0"/>
        </w:rPr>
        <w:t xml:space="preserve"> Hub-gene discovery chained several selections — |logFC|≥0.3 DEG filtering, top-2000 co-expression degree-centrality, and tri-method ML consensus — each reusing the same cohort, so the effective family-wise error rate is uncontrolled and the hub set requires independent-cohort replication. Similarly, the 30-gene signature's gene selection and orientation reused the same 28-day labels that define the outcome, contributing to the optimistic within-cohort CV AUC (§3.4, limitation 1).</w:t>
      </w:r>
    </w:p>
    <w:p>
      <w:pPr>
        <w:spacing w:before="0" w:after="80"/>
      </w:pPr>
      <w:r>
        <w:rPr>
          <w:rFonts w:ascii="Times New Roman" w:hAnsi="Times New Roman"/>
          <w:b w:val="0"/>
          <w:i w:val="0"/>
        </w:rPr>
        <w:t xml:space="preserve">11. </w:t>
      </w:r>
      <w:r>
        <w:rPr>
          <w:rFonts w:ascii="Times New Roman" w:hAnsi="Times New Roman"/>
          <w:b/>
          <w:i w:val="0"/>
        </w:rPr>
        <w:t>LINCS L1000 rescue is single-direction, not a dual-direction reversal.</w:t>
      </w:r>
      <w:r>
        <w:rPr>
          <w:rFonts w:ascii="Times New Roman" w:hAnsi="Times New Roman"/>
          <w:b w:val="0"/>
          <w:i w:val="0"/>
        </w:rPr>
        <w:t xml:space="preserve"> The connectivity score (§3.9) aggregates all 22 query genes with the same sign, so it rewards up-regulation of the Mars1-</w:t>
      </w:r>
      <w:r>
        <w:rPr>
          <w:rFonts w:ascii="Times New Roman" w:hAnsi="Times New Roman"/>
          <w:b w:val="0"/>
          <w:i/>
        </w:rPr>
        <w:t>up</w:t>
      </w:r>
      <w:r>
        <w:rPr>
          <w:rFonts w:ascii="Times New Roman" w:hAnsi="Times New Roman"/>
          <w:b w:val="0"/>
          <w:i w:val="0"/>
        </w:rPr>
        <w:t xml:space="preserve"> exhaustion markers PDCD1 and LAG3 as well as reversal of the Mars1-</w:t>
      </w:r>
      <w:r>
        <w:rPr>
          <w:rFonts w:ascii="Times New Roman" w:hAnsi="Times New Roman"/>
          <w:b w:val="0"/>
          <w:i/>
        </w:rPr>
        <w:t>down</w:t>
      </w:r>
      <w:r>
        <w:rPr>
          <w:rFonts w:ascii="Times New Roman" w:hAnsi="Times New Roman"/>
          <w:b w:val="0"/>
          <w:i w:val="0"/>
        </w:rPr>
        <w:t xml:space="preserve"> antigen-presentation axis; the intended dual-direction requirement (exhaustion markers also down-regulated) was not implemented. The score is therefore a transcriptional proxy for Mars1-down reversal only, not a verified functional or dual-direction rescue, and the two small-molecule candidates rest on this single-direction proxy together with the glucocorticoid caveat (§3.9).</w:t>
      </w:r>
    </w:p>
    <w:p>
      <w:pPr>
        <w:spacing w:before="0" w:after="80"/>
      </w:pPr>
      <w:r>
        <w:rPr>
          <w:rFonts w:ascii="Times New Roman" w:hAnsi="Times New Roman"/>
          <w:b w:val="0"/>
          <w:i w:val="0"/>
        </w:rPr>
        <w:t xml:space="preserve">12. </w:t>
      </w:r>
      <w:r>
        <w:rPr>
          <w:rFonts w:ascii="Times New Roman" w:hAnsi="Times New Roman"/>
          <w:b/>
          <w:i w:val="0"/>
        </w:rPr>
        <w:t>Mendelian-randomisation candidates were selected from the discovery cohort, inducing selection-on-outcome circularity.</w:t>
      </w:r>
      <w:r>
        <w:rPr>
          <w:rFonts w:ascii="Times New Roman" w:hAnsi="Times New Roman"/>
          <w:b w:val="0"/>
          <w:i w:val="0"/>
        </w:rPr>
        <w:t xml:space="preserve"> The six candidate genes were nominated because they are expression-associated with the sepsis endotype and 28-day death in GSE65682, and were then tested for a </w:t>
      </w:r>
      <w:r>
        <w:rPr>
          <w:rFonts w:ascii="Times New Roman" w:hAnsi="Times New Roman"/>
          <w:b w:val="0"/>
          <w:i/>
        </w:rPr>
        <w:t>causal</w:t>
      </w:r>
      <w:r>
        <w:rPr>
          <w:rFonts w:ascii="Times New Roman" w:hAnsi="Times New Roman"/>
          <w:b w:val="0"/>
          <w:i w:val="0"/>
        </w:rPr>
        <w:t xml:space="preserve"> effect on sepsis outcomes. The MR is therefore a within-cohort-generated hypothesis test rather than an independent confirmation of the expression signal; the pre-specified 45-test BH correction controls multiplicity over the chosen genes but not their outcome-driven selection, and the MR null should be read as "no evidence for causality in these specific candidates," not as a refutation of the expression-level association.</w:t>
      </w:r>
    </w:p>
    <w:p>
      <w:pPr>
        <w:spacing w:before="0" w:after="80"/>
      </w:pPr>
      <w:r>
        <w:rPr>
          <w:rFonts w:ascii="Times New Roman" w:hAnsi="Times New Roman"/>
          <w:b w:val="0"/>
          <w:i w:val="0"/>
        </w:rPr>
        <w:t xml:space="preserve">13. </w:t>
      </w:r>
      <w:r>
        <w:rPr>
          <w:rFonts w:ascii="Times New Roman" w:hAnsi="Times New Roman"/>
          <w:b/>
          <w:i w:val="0"/>
        </w:rPr>
        <w:t>STROBE-MR items not fully satisfied.</w:t>
      </w:r>
      <w:r>
        <w:rPr>
          <w:rFonts w:ascii="Times New Roman" w:hAnsi="Times New Roman"/>
          <w:b w:val="0"/>
          <w:i w:val="0"/>
        </w:rPr>
        <w:t xml:space="preserve"> We did not perform a Steiger directionality test (STROBE-MR item 9a), so reverse-causation between baseline cis-eQTL whole-blood expression and the acute sepsis outcome is not formally excluded; and we tabulated only the final retained instrument counts, with the per-SNP drop-list reproducible from the deposited TwoSampleMR harmonisation script rather than tabulated inline (STROBE-MR item 10_counts). Both are disclosed for transparency but remain partial against the checklist.</w:t>
      </w:r>
    </w:p>
    <w:p>
      <w:pPr>
        <w:spacing w:before="0" w:after="80"/>
      </w:pPr>
      <w:r>
        <w:rPr>
          <w:rFonts w:ascii="Times New Roman" w:hAnsi="Times New Roman"/>
          <w:b w:val="0"/>
          <w:i w:val="0"/>
        </w:rPr>
        <w:t>None of these invalidate the Tier-1 biology-inevitable positives; they bound the strength of the prognosis and repositioning claims.</w:t>
      </w:r>
    </w:p>
    <w:p>
      <w:pPr>
        <w:spacing w:before="160" w:after="80"/>
      </w:pPr>
      <w:r>
        <w:rPr>
          <w:rFonts w:ascii="Times New Roman" w:hAnsi="Times New Roman"/>
          <w:b/>
          <w:i w:val="0"/>
          <w:sz w:val="25"/>
        </w:rPr>
        <w:t>6. Conclusion</w:t>
      </w:r>
    </w:p>
    <w:p>
      <w:pPr>
        <w:spacing w:before="0" w:after="80"/>
      </w:pPr>
      <w:r>
        <w:rPr>
          <w:rFonts w:ascii="Times New Roman" w:hAnsi="Times New Roman"/>
          <w:b w:val="0"/>
          <w:i w:val="0"/>
        </w:rPr>
        <w:t>The Mars1 immunosuppressed program is anchored by five antigen-presentation/monocytic hub genes (CD74, HLA-DQA1, CD14, FCGR3A) plus the co-inhibitory checkpoint HAVCR2/TIM-3 (expressed on T cells and antigen-presenting cells) — with a sixth co-expression-linked gene, FIS1, a mitochondrial-fission protein up-regulated in Mars1 (logFC +1.26) that lies outside the immune set and is reported as a co-expression passenger rather than an immune hub (§3.3) — that are both prognostically associated (within-cohort CV-AUC 0.659, optimistic; independent external AUC 0.638 on E-MTAB-4451) and identify candidate, expression-level intervention hypotheses (direct-target validation still pending). In-silico repositioning nominates IL-7, GM-CSF and IFN-γ as axis-specific immune-restorative candidates; their small-molecule counterparts lenalidomide and azithromycin show directional-but-modest LINCS L1000 rescue of the Mars1-down axis; because the same axis ranks prednisone in the 3.2nd percentile, that ranking is descriptive only and not supportive evidence, and functional validation (S11) remains required.</w:t>
      </w:r>
    </w:p>
    <w:p>
      <w:pPr>
        <w:spacing w:before="160" w:after="80"/>
      </w:pPr>
      <w:r>
        <w:rPr>
          <w:rFonts w:ascii="Times New Roman" w:hAnsi="Times New Roman"/>
          <w:b/>
          <w:i w:val="0"/>
          <w:sz w:val="25"/>
        </w:rPr>
        <w:t>7. Number provenance</w:t>
      </w:r>
    </w:p>
    <w:tbl>
      <w:tblPr>
        <w:tblStyle w:val="TableGrid"/>
        <w:tblW w:type="auto" w:w="0"/>
        <w:jc w:val="center"/>
        <w:tblLayout w:type="autofit"/>
        <w:tblLook w:firstColumn="1" w:firstRow="1" w:lastColumn="0" w:lastRow="0" w:noHBand="0" w:noVBand="1" w:val="04A0"/>
      </w:tblPr>
      <w:tblGrid>
        <w:gridCol w:w="4680"/>
        <w:gridCol w:w="4680"/>
      </w:tblGrid>
      <w:tr>
        <w:trPr>
          <w:tblHeader/>
        </w:trPr>
        <w:tc>
          <w:tcPr>
            <w:tcW w:type="dxa" w:w="4680"/>
          </w:tcPr>
          <w:p>
            <w:pPr>
              <w:spacing w:line="240" w:lineRule="auto" w:before="20" w:after="20"/>
            </w:pPr>
            <w:r/>
            <w:r>
              <w:rPr>
                <w:rFonts w:ascii="Times New Roman" w:hAnsi="Times New Roman"/>
                <w:b/>
                <w:i w:val="0"/>
                <w:sz w:val="17"/>
              </w:rPr>
              <w:t>Reported number</w:t>
            </w:r>
          </w:p>
        </w:tc>
        <w:tc>
          <w:tcPr>
            <w:tcW w:type="dxa" w:w="4680"/>
          </w:tcPr>
          <w:p>
            <w:pPr>
              <w:spacing w:line="240" w:lineRule="auto" w:before="20" w:after="20"/>
            </w:pPr>
            <w:r/>
            <w:r>
              <w:rPr>
                <w:rFonts w:ascii="Times New Roman" w:hAnsi="Times New Roman"/>
                <w:b/>
                <w:i w:val="0"/>
                <w:sz w:val="17"/>
              </w:rPr>
              <w:t>Source file</w:t>
            </w:r>
          </w:p>
        </w:tc>
      </w:tr>
      <w:tr>
        <w:tc>
          <w:tcPr>
            <w:tcW w:type="dxa" w:w="4680"/>
          </w:tcPr>
          <w:p>
            <w:pPr>
              <w:spacing w:line="240" w:lineRule="auto" w:before="20" w:after="20"/>
            </w:pPr>
            <w:r/>
            <w:r>
              <w:rPr>
                <w:rFonts w:ascii="Times New Roman" w:hAnsi="Times New Roman"/>
                <w:b w:val="0"/>
                <w:i w:val="0"/>
                <w:sz w:val="17"/>
              </w:rPr>
              <w:t>802 samples / GPL13667</w:t>
            </w:r>
          </w:p>
        </w:tc>
        <w:tc>
          <w:tcPr>
            <w:tcW w:type="dxa" w:w="4680"/>
          </w:tcPr>
          <w:p>
            <w:pPr>
              <w:spacing w:line="240" w:lineRule="auto" w:before="20" w:after="20"/>
            </w:pPr>
            <w:r/>
            <w:r>
              <w:rPr>
                <w:rFonts w:ascii="Courier New" w:hAnsi="Courier New"/>
                <w:b w:val="0"/>
                <w:i w:val="0"/>
                <w:sz w:val="17"/>
              </w:rPr>
              <w:t>01_data/GSE65682/GSE65682_expr.csv</w:t>
            </w:r>
            <w:r>
              <w:rPr>
                <w:rFonts w:ascii="Times New Roman" w:hAnsi="Times New Roman"/>
                <w:b w:val="0"/>
                <w:i w:val="0"/>
                <w:sz w:val="17"/>
              </w:rPr>
              <w:t xml:space="preserve"> (regenerable from GEO GSE65682 via deposited script), </w:t>
            </w:r>
            <w:r>
              <w:rPr>
                <w:rFonts w:ascii="Courier New" w:hAnsi="Courier New"/>
                <w:b w:val="0"/>
                <w:i w:val="0"/>
                <w:sz w:val="17"/>
              </w:rPr>
              <w:t>GSE65682_pheno.csv</w:t>
            </w:r>
            <w:r>
              <w:rPr>
                <w:rFonts w:ascii="Times New Roman" w:hAnsi="Times New Roman"/>
                <w:b w:val="0"/>
                <w:i w:val="0"/>
                <w:sz w:val="17"/>
              </w:rPr>
              <w:t xml:space="preserve"> (committed to the repository; 760 sepsis / 42 ctrl / endotype / death counts verifiable)</w:t>
            </w:r>
          </w:p>
        </w:tc>
      </w:tr>
      <w:tr>
        <w:tc>
          <w:tcPr>
            <w:tcW w:type="dxa" w:w="4680"/>
          </w:tcPr>
          <w:p>
            <w:pPr>
              <w:spacing w:line="240" w:lineRule="auto" w:before="20" w:after="20"/>
            </w:pPr>
            <w:r/>
            <w:r>
              <w:rPr>
                <w:rFonts w:ascii="Times New Roman" w:hAnsi="Times New Roman"/>
                <w:b w:val="0"/>
                <w:i w:val="0"/>
                <w:sz w:val="17"/>
              </w:rPr>
              <w:t>sepsis-vs-healthy DEG 448 (&gt;=0.3)</w:t>
            </w:r>
          </w:p>
        </w:tc>
        <w:tc>
          <w:tcPr>
            <w:tcW w:type="dxa" w:w="4680"/>
          </w:tcPr>
          <w:p>
            <w:pPr>
              <w:spacing w:line="240" w:lineRule="auto" w:before="20" w:after="20"/>
            </w:pPr>
            <w:r/>
            <w:r>
              <w:rPr>
                <w:rFonts w:ascii="Courier New" w:hAnsi="Courier New"/>
                <w:b w:val="0"/>
                <w:i w:val="0"/>
                <w:sz w:val="17"/>
              </w:rPr>
              <w:t>03_results/S01_deg_sepsis_vs_ctrl.csv</w:t>
            </w:r>
          </w:p>
        </w:tc>
      </w:tr>
      <w:tr>
        <w:tc>
          <w:tcPr>
            <w:tcW w:type="dxa" w:w="4680"/>
          </w:tcPr>
          <w:p>
            <w:pPr>
              <w:spacing w:line="240" w:lineRule="auto" w:before="20" w:after="20"/>
            </w:pPr>
            <w:r/>
            <w:r>
              <w:rPr>
                <w:rFonts w:ascii="Times New Roman" w:hAnsi="Times New Roman"/>
                <w:b w:val="0"/>
                <w:i w:val="0"/>
                <w:sz w:val="17"/>
              </w:rPr>
              <w:t>Mars1-vs-Other DEG 3597 (&gt;=0.3)</w:t>
            </w:r>
          </w:p>
        </w:tc>
        <w:tc>
          <w:tcPr>
            <w:tcW w:type="dxa" w:w="4680"/>
          </w:tcPr>
          <w:p>
            <w:pPr>
              <w:spacing w:line="240" w:lineRule="auto" w:before="20" w:after="20"/>
            </w:pPr>
            <w:r/>
            <w:r>
              <w:rPr>
                <w:rFonts w:ascii="Courier New" w:hAnsi="Courier New"/>
                <w:b w:val="0"/>
                <w:i w:val="0"/>
                <w:sz w:val="17"/>
              </w:rPr>
              <w:t>03_results/S01_mars1_deg.csv</w:t>
            </w:r>
          </w:p>
        </w:tc>
      </w:tr>
      <w:tr>
        <w:tc>
          <w:tcPr>
            <w:tcW w:type="dxa" w:w="4680"/>
          </w:tcPr>
          <w:p>
            <w:pPr>
              <w:spacing w:line="240" w:lineRule="auto" w:before="20" w:after="20"/>
            </w:pPr>
            <w:r/>
            <w:r>
              <w:rPr>
                <w:rFonts w:ascii="Times New Roman" w:hAnsi="Times New Roman"/>
                <w:b w:val="0"/>
                <w:i w:val="0"/>
                <w:sz w:val="17"/>
              </w:rPr>
              <w:t>23/25 immune genes directionally down (Mars1_down), 22/25 significant (FDR&lt;0.05, including PDCD1 up), 21 both down and significant</w:t>
            </w:r>
          </w:p>
        </w:tc>
        <w:tc>
          <w:tcPr>
            <w:tcW w:type="dxa" w:w="4680"/>
          </w:tcPr>
          <w:p>
            <w:pPr>
              <w:spacing w:line="240" w:lineRule="auto" w:before="20" w:after="20"/>
            </w:pPr>
            <w:r/>
            <w:r>
              <w:rPr>
                <w:rFonts w:ascii="Courier New" w:hAnsi="Courier New"/>
                <w:b w:val="0"/>
                <w:i w:val="0"/>
                <w:sz w:val="17"/>
              </w:rPr>
              <w:t>03_results/S01_immunoparalysis_direction.csv</w:t>
            </w:r>
          </w:p>
        </w:tc>
      </w:tr>
      <w:tr>
        <w:tc>
          <w:tcPr>
            <w:tcW w:type="dxa" w:w="4680"/>
          </w:tcPr>
          <w:p>
            <w:pPr>
              <w:spacing w:line="240" w:lineRule="auto" w:before="20" w:after="20"/>
            </w:pPr>
            <w:r/>
            <w:r>
              <w:rPr>
                <w:rFonts w:ascii="Times New Roman" w:hAnsi="Times New Roman"/>
                <w:b w:val="0"/>
                <w:i w:val="0"/>
                <w:sz w:val="17"/>
              </w:rPr>
              <w:t>HLA-DRB1/CD74/CD14/FCGR3A delta &amp; P</w:t>
            </w:r>
          </w:p>
        </w:tc>
        <w:tc>
          <w:tcPr>
            <w:tcW w:type="dxa" w:w="4680"/>
          </w:tcPr>
          <w:p>
            <w:pPr>
              <w:spacing w:line="240" w:lineRule="auto" w:before="20" w:after="20"/>
            </w:pPr>
            <w:r/>
            <w:r>
              <w:rPr>
                <w:rFonts w:ascii="Courier New" w:hAnsi="Courier New"/>
                <w:b w:val="0"/>
                <w:i w:val="0"/>
                <w:sz w:val="17"/>
              </w:rPr>
              <w:t>03_results/S01_immunoparalysis_direction.csv</w:t>
            </w:r>
          </w:p>
        </w:tc>
      </w:tr>
      <w:tr>
        <w:tc>
          <w:tcPr>
            <w:tcW w:type="dxa" w:w="4680"/>
          </w:tcPr>
          <w:p>
            <w:pPr>
              <w:spacing w:line="240" w:lineRule="auto" w:before="20" w:after="20"/>
            </w:pPr>
            <w:r/>
            <w:r>
              <w:rPr>
                <w:rFonts w:ascii="Times New Roman" w:hAnsi="Times New Roman"/>
                <w:b w:val="0"/>
                <w:i w:val="0"/>
                <w:sz w:val="17"/>
              </w:rPr>
              <w:t>Mars1 immune-score median -0.79</w:t>
            </w:r>
          </w:p>
        </w:tc>
        <w:tc>
          <w:tcPr>
            <w:tcW w:type="dxa" w:w="4680"/>
          </w:tcPr>
          <w:p>
            <w:pPr>
              <w:spacing w:line="240" w:lineRule="auto" w:before="20" w:after="20"/>
            </w:pPr>
            <w:r/>
            <w:r>
              <w:rPr>
                <w:rFonts w:ascii="Courier New" w:hAnsi="Courier New"/>
                <w:b w:val="0"/>
                <w:i w:val="0"/>
                <w:sz w:val="17"/>
              </w:rPr>
              <w:t>03_results/S02_immunoparalysis_score.csv</w:t>
            </w:r>
          </w:p>
        </w:tc>
      </w:tr>
      <w:tr>
        <w:tc>
          <w:tcPr>
            <w:tcW w:type="dxa" w:w="4680"/>
          </w:tcPr>
          <w:p>
            <w:pPr>
              <w:spacing w:line="240" w:lineRule="auto" w:before="20" w:after="20"/>
            </w:pPr>
            <w:r/>
            <w:r>
              <w:rPr>
                <w:rFonts w:ascii="Times New Roman" w:hAnsi="Times New Roman"/>
                <w:b w:val="0"/>
                <w:i w:val="0"/>
                <w:sz w:val="17"/>
              </w:rPr>
              <w:t>6 co-expression-associated genes (5 immune hubs + FIS1 passenger)</w:t>
            </w:r>
          </w:p>
        </w:tc>
        <w:tc>
          <w:tcPr>
            <w:tcW w:type="dxa" w:w="4680"/>
          </w:tcPr>
          <w:p>
            <w:pPr>
              <w:spacing w:line="240" w:lineRule="auto" w:before="20" w:after="20"/>
            </w:pPr>
            <w:r/>
            <w:r>
              <w:rPr>
                <w:rFonts w:ascii="Courier New" w:hAnsi="Courier New"/>
                <w:b w:val="0"/>
                <w:i w:val="0"/>
                <w:sz w:val="17"/>
              </w:rPr>
              <w:t>03_results/S05_hub_genes.csv</w:t>
            </w:r>
          </w:p>
        </w:tc>
      </w:tr>
      <w:tr>
        <w:tc>
          <w:tcPr>
            <w:tcW w:type="dxa" w:w="4680"/>
          </w:tcPr>
          <w:p>
            <w:pPr>
              <w:spacing w:line="240" w:lineRule="auto" w:before="20" w:after="20"/>
            </w:pPr>
            <w:r/>
            <w:r>
              <w:rPr>
                <w:rFonts w:ascii="Times New Roman" w:hAnsi="Times New Roman"/>
                <w:b w:val="0"/>
                <w:i w:val="0"/>
                <w:sz w:val="17"/>
              </w:rPr>
              <w:t>30-gene signature + correlation with death</w:t>
            </w:r>
          </w:p>
        </w:tc>
        <w:tc>
          <w:tcPr>
            <w:tcW w:type="dxa" w:w="4680"/>
          </w:tcPr>
          <w:p>
            <w:pPr>
              <w:spacing w:line="240" w:lineRule="auto" w:before="20" w:after="20"/>
            </w:pPr>
            <w:r/>
            <w:r>
              <w:rPr>
                <w:rFonts w:ascii="Courier New" w:hAnsi="Courier New"/>
                <w:b w:val="0"/>
                <w:i w:val="0"/>
                <w:sz w:val="17"/>
              </w:rPr>
              <w:t>03_results/S06_signature_genes.csv</w:t>
            </w:r>
          </w:p>
        </w:tc>
      </w:tr>
      <w:tr>
        <w:tc>
          <w:tcPr>
            <w:tcW w:type="dxa" w:w="4680"/>
          </w:tcPr>
          <w:p>
            <w:pPr>
              <w:spacing w:line="240" w:lineRule="auto" w:before="20" w:after="20"/>
            </w:pPr>
            <w:r/>
            <w:r>
              <w:rPr>
                <w:rFonts w:ascii="Times New Roman" w:hAnsi="Times New Roman"/>
                <w:b w:val="0"/>
                <w:i w:val="0"/>
                <w:sz w:val="17"/>
              </w:rPr>
              <w:t>CV AUC 0.659 / training 0.750</w:t>
            </w:r>
          </w:p>
        </w:tc>
        <w:tc>
          <w:tcPr>
            <w:tcW w:type="dxa" w:w="4680"/>
          </w:tcPr>
          <w:p>
            <w:pPr>
              <w:spacing w:line="240" w:lineRule="auto" w:before="20" w:after="20"/>
            </w:pPr>
            <w:r/>
            <w:r>
              <w:rPr>
                <w:rFonts w:ascii="Courier New" w:hAnsi="Courier New"/>
                <w:b w:val="0"/>
                <w:i w:val="0"/>
                <w:sz w:val="17"/>
              </w:rPr>
              <w:t>03_results/S06_auc_compare.csv</w:t>
            </w:r>
          </w:p>
        </w:tc>
      </w:tr>
      <w:tr>
        <w:tc>
          <w:tcPr>
            <w:tcW w:type="dxa" w:w="4680"/>
          </w:tcPr>
          <w:p>
            <w:pPr>
              <w:spacing w:line="240" w:lineRule="auto" w:before="20" w:after="20"/>
            </w:pPr>
            <w:r/>
            <w:r>
              <w:rPr>
                <w:rFonts w:ascii="Times New Roman" w:hAnsi="Times New Roman"/>
                <w:b w:val="0"/>
                <w:i w:val="0"/>
                <w:sz w:val="17"/>
              </w:rPr>
              <w:t>External validation AUC 0.638 (CI 0.532-0.748) / locked L1 0.585</w:t>
            </w:r>
          </w:p>
        </w:tc>
        <w:tc>
          <w:tcPr>
            <w:tcW w:type="dxa" w:w="4680"/>
          </w:tcPr>
          <w:p>
            <w:pPr>
              <w:spacing w:line="240" w:lineRule="auto" w:before="20" w:after="20"/>
            </w:pPr>
            <w:r/>
            <w:r>
              <w:rPr>
                <w:rFonts w:ascii="Courier New" w:hAnsi="Courier New"/>
                <w:b w:val="0"/>
                <w:i w:val="0"/>
                <w:sz w:val="17"/>
              </w:rPr>
              <w:t>03_results/09_external_validation.csv</w:t>
            </w:r>
            <w:r>
              <w:rPr>
                <w:rFonts w:ascii="Times New Roman" w:hAnsi="Times New Roman"/>
                <w:b w:val="0"/>
                <w:i w:val="0"/>
                <w:sz w:val="17"/>
              </w:rPr>
              <w:t xml:space="preserve">, </w:t>
            </w:r>
            <w:r>
              <w:rPr>
                <w:rFonts w:ascii="Courier New" w:hAnsi="Courier New"/>
                <w:b w:val="0"/>
                <w:i w:val="0"/>
                <w:sz w:val="17"/>
              </w:rPr>
              <w:t>09_external_validation_coef.json</w:t>
            </w:r>
          </w:p>
        </w:tc>
      </w:tr>
      <w:tr>
        <w:tc>
          <w:tcPr>
            <w:tcW w:type="dxa" w:w="4680"/>
          </w:tcPr>
          <w:p>
            <w:pPr>
              <w:spacing w:line="240" w:lineRule="auto" w:before="20" w:after="20"/>
            </w:pPr>
            <w:r/>
            <w:r>
              <w:rPr>
                <w:rFonts w:ascii="Times New Roman" w:hAnsi="Times New Roman"/>
                <w:b w:val="0"/>
                <w:i w:val="0"/>
                <w:sz w:val="17"/>
              </w:rPr>
              <w:t>External-cohort calibration slope 0.50 / intercept -0.04 + decision-curve net benefit</w:t>
            </w:r>
          </w:p>
        </w:tc>
        <w:tc>
          <w:tcPr>
            <w:tcW w:type="dxa" w:w="4680"/>
          </w:tcPr>
          <w:p>
            <w:pPr>
              <w:spacing w:line="240" w:lineRule="auto" w:before="20" w:after="20"/>
            </w:pPr>
            <w:r/>
            <w:r>
              <w:rPr>
                <w:rFonts w:ascii="Courier New" w:hAnsi="Courier New"/>
                <w:b w:val="0"/>
                <w:i w:val="0"/>
                <w:sz w:val="17"/>
              </w:rPr>
              <w:t>03_results/09_ext_calibration_dca.csv</w:t>
            </w:r>
            <w:r>
              <w:rPr>
                <w:rFonts w:ascii="Times New Roman" w:hAnsi="Times New Roman"/>
                <w:b w:val="0"/>
                <w:i w:val="0"/>
                <w:sz w:val="17"/>
              </w:rPr>
              <w:t xml:space="preserve">, </w:t>
            </w:r>
            <w:r>
              <w:rPr>
                <w:rFonts w:ascii="Courier New" w:hAnsi="Courier New"/>
                <w:b w:val="0"/>
                <w:i w:val="0"/>
                <w:sz w:val="17"/>
              </w:rPr>
              <w:t>09_ext_dca_grid.csv</w:t>
            </w:r>
            <w:r>
              <w:rPr>
                <w:rFonts w:ascii="Times New Roman" w:hAnsi="Times New Roman"/>
                <w:b w:val="0"/>
                <w:i w:val="0"/>
                <w:sz w:val="17"/>
              </w:rPr>
              <w:t xml:space="preserve">, </w:t>
            </w:r>
            <w:r>
              <w:rPr>
                <w:rFonts w:ascii="Courier New" w:hAnsi="Courier New"/>
                <w:b w:val="0"/>
                <w:i w:val="0"/>
                <w:sz w:val="17"/>
              </w:rPr>
              <w:t>04_figures/S06_dca.png</w:t>
            </w:r>
          </w:p>
        </w:tc>
      </w:tr>
      <w:tr>
        <w:tc>
          <w:tcPr>
            <w:tcW w:type="dxa" w:w="4680"/>
          </w:tcPr>
          <w:p>
            <w:pPr>
              <w:spacing w:line="240" w:lineRule="auto" w:before="20" w:after="20"/>
            </w:pPr>
            <w:r/>
            <w:r>
              <w:rPr>
                <w:rFonts w:ascii="Times New Roman" w:hAnsi="Times New Roman"/>
                <w:b w:val="0"/>
                <w:i w:val="0"/>
                <w:sz w:val="17"/>
              </w:rPr>
              <w:t>E-MTAB-4451 data</w:t>
            </w:r>
          </w:p>
        </w:tc>
        <w:tc>
          <w:tcPr>
            <w:tcW w:type="dxa" w:w="4680"/>
          </w:tcPr>
          <w:p>
            <w:pPr>
              <w:spacing w:line="240" w:lineRule="auto" w:before="20" w:after="20"/>
            </w:pPr>
            <w:r/>
            <w:r>
              <w:rPr>
                <w:rFonts w:ascii="Courier New" w:hAnsi="Courier New"/>
                <w:b w:val="0"/>
                <w:i w:val="0"/>
                <w:sz w:val="17"/>
              </w:rPr>
              <w:t>01_data/E-MTAB-4451/Davenport_sepsis_Feb2016_normalised_106.txt</w:t>
            </w:r>
            <w:r>
              <w:rPr>
                <w:rFonts w:ascii="Times New Roman" w:hAnsi="Times New Roman"/>
                <w:b w:val="0"/>
                <w:i w:val="0"/>
                <w:sz w:val="17"/>
              </w:rPr>
              <w:t xml:space="preserve">, </w:t>
            </w:r>
            <w:r>
              <w:rPr>
                <w:rFonts w:ascii="Courier New" w:hAnsi="Courier New"/>
                <w:b w:val="0"/>
                <w:i w:val="0"/>
                <w:sz w:val="17"/>
              </w:rPr>
              <w:t>E-MTAB-4451.sdrf.txt</w:t>
            </w:r>
            <w:r>
              <w:rPr>
                <w:rFonts w:ascii="Times New Roman" w:hAnsi="Times New Roman"/>
                <w:b w:val="0"/>
                <w:i w:val="0"/>
                <w:sz w:val="17"/>
              </w:rPr>
              <w:t xml:space="preserve">, </w:t>
            </w:r>
            <w:r>
              <w:rPr>
                <w:rFonts w:ascii="Courier New" w:hAnsi="Courier New"/>
                <w:b w:val="0"/>
                <w:i w:val="0"/>
                <w:sz w:val="17"/>
              </w:rPr>
              <w:t>GPL10558.annot.gz</w:t>
            </w:r>
          </w:p>
        </w:tc>
      </w:tr>
      <w:tr>
        <w:tc>
          <w:tcPr>
            <w:tcW w:type="dxa" w:w="4680"/>
          </w:tcPr>
          <w:p>
            <w:pPr>
              <w:spacing w:line="240" w:lineRule="auto" w:before="20" w:after="20"/>
            </w:pPr>
            <w:r/>
            <w:r>
              <w:rPr>
                <w:rFonts w:ascii="Times New Roman" w:hAnsi="Times New Roman"/>
                <w:b w:val="0"/>
                <w:i w:val="0"/>
                <w:sz w:val="17"/>
              </w:rPr>
              <w:t>hub cellular localisation</w:t>
            </w:r>
          </w:p>
        </w:tc>
        <w:tc>
          <w:tcPr>
            <w:tcW w:type="dxa" w:w="4680"/>
          </w:tcPr>
          <w:p>
            <w:pPr>
              <w:spacing w:line="240" w:lineRule="auto" w:before="20" w:after="20"/>
            </w:pPr>
            <w:r/>
            <w:r>
              <w:rPr>
                <w:rFonts w:ascii="Courier New" w:hAnsi="Courier New"/>
                <w:b w:val="0"/>
                <w:i w:val="0"/>
                <w:sz w:val="17"/>
              </w:rPr>
              <w:t>03_results/07_hub_celltype.csv</w:t>
            </w:r>
          </w:p>
        </w:tc>
      </w:tr>
      <w:tr>
        <w:tc>
          <w:tcPr>
            <w:tcW w:type="dxa" w:w="4680"/>
          </w:tcPr>
          <w:p>
            <w:pPr>
              <w:spacing w:line="240" w:lineRule="auto" w:before="20" w:after="20"/>
            </w:pPr>
            <w:r/>
            <w:r>
              <w:rPr>
                <w:rFonts w:ascii="Times New Roman" w:hAnsi="Times New Roman"/>
                <w:b w:val="0"/>
                <w:i w:val="0"/>
                <w:sz w:val="17"/>
              </w:rPr>
              <w:t>7 candidate drugs + rescue</w:t>
            </w:r>
          </w:p>
        </w:tc>
        <w:tc>
          <w:tcPr>
            <w:tcW w:type="dxa" w:w="4680"/>
          </w:tcPr>
          <w:p>
            <w:pPr>
              <w:spacing w:line="240" w:lineRule="auto" w:before="20" w:after="20"/>
            </w:pPr>
            <w:r/>
            <w:r>
              <w:rPr>
                <w:rFonts w:ascii="Courier New" w:hAnsi="Courier New"/>
                <w:b w:val="0"/>
                <w:i w:val="0"/>
                <w:sz w:val="17"/>
              </w:rPr>
              <w:t>03_results/08_candidates_drugs.csv</w:t>
            </w:r>
          </w:p>
        </w:tc>
      </w:tr>
      <w:tr>
        <w:tc>
          <w:tcPr>
            <w:tcW w:type="dxa" w:w="4680"/>
          </w:tcPr>
          <w:p>
            <w:pPr>
              <w:spacing w:line="240" w:lineRule="auto" w:before="20" w:after="20"/>
            </w:pPr>
            <w:r/>
            <w:r>
              <w:rPr>
                <w:rFonts w:ascii="Times New Roman" w:hAnsi="Times New Roman"/>
                <w:b w:val="0"/>
                <w:i w:val="0"/>
                <w:sz w:val="17"/>
              </w:rPr>
              <w:t>positive control</w:t>
            </w:r>
          </w:p>
        </w:tc>
        <w:tc>
          <w:tcPr>
            <w:tcW w:type="dxa" w:w="4680"/>
          </w:tcPr>
          <w:p>
            <w:pPr>
              <w:spacing w:line="240" w:lineRule="auto" w:before="20" w:after="20"/>
            </w:pPr>
            <w:r/>
            <w:r>
              <w:rPr>
                <w:rFonts w:ascii="Courier New" w:hAnsi="Courier New"/>
                <w:b w:val="0"/>
                <w:i w:val="0"/>
                <w:sz w:val="17"/>
              </w:rPr>
              <w:t>03_results/08_positive_control_check.csv</w:t>
            </w:r>
          </w:p>
        </w:tc>
      </w:tr>
      <w:tr>
        <w:tc>
          <w:tcPr>
            <w:tcW w:type="dxa" w:w="4680"/>
          </w:tcPr>
          <w:p>
            <w:pPr>
              <w:spacing w:line="240" w:lineRule="auto" w:before="20" w:after="20"/>
            </w:pPr>
            <w:r/>
            <w:r>
              <w:rPr>
                <w:rFonts w:ascii="Times New Roman" w:hAnsi="Times New Roman"/>
                <w:b w:val="0"/>
                <w:i w:val="0"/>
                <w:sz w:val="17"/>
              </w:rPr>
              <w:t>7-candidate clinical-translation status</w:t>
            </w:r>
          </w:p>
        </w:tc>
        <w:tc>
          <w:tcPr>
            <w:tcW w:type="dxa" w:w="4680"/>
          </w:tcPr>
          <w:p>
            <w:pPr>
              <w:spacing w:line="240" w:lineRule="auto" w:before="20" w:after="20"/>
            </w:pPr>
            <w:r/>
            <w:r>
              <w:rPr>
                <w:rFonts w:ascii="Courier New" w:hAnsi="Courier New"/>
                <w:b w:val="0"/>
                <w:i w:val="0"/>
                <w:sz w:val="17"/>
              </w:rPr>
              <w:t>03_results/08b_clinical_translation.csv</w:t>
            </w:r>
          </w:p>
        </w:tc>
      </w:tr>
      <w:tr>
        <w:tc>
          <w:tcPr>
            <w:tcW w:type="dxa" w:w="4680"/>
          </w:tcPr>
          <w:p>
            <w:pPr>
              <w:spacing w:line="240" w:lineRule="auto" w:before="20" w:after="20"/>
            </w:pPr>
            <w:r/>
            <w:r>
              <w:rPr>
                <w:rFonts w:ascii="Times New Roman" w:hAnsi="Times New Roman"/>
                <w:b w:val="0"/>
                <w:i w:val="0"/>
                <w:sz w:val="17"/>
              </w:rPr>
              <w:t>L1000 connectivity (20,413 small-molecule rescue ranks)</w:t>
            </w:r>
          </w:p>
        </w:tc>
        <w:tc>
          <w:tcPr>
            <w:tcW w:type="dxa" w:w="4680"/>
          </w:tcPr>
          <w:p>
            <w:pPr>
              <w:spacing w:line="240" w:lineRule="auto" w:before="20" w:after="20"/>
            </w:pPr>
            <w:r/>
            <w:r>
              <w:rPr>
                <w:rFonts w:ascii="Courier New" w:hAnsi="Courier New"/>
                <w:b w:val="0"/>
                <w:i w:val="0"/>
                <w:sz w:val="17"/>
              </w:rPr>
              <w:t>03_results/S08_l1000_rescue_trtcp.csv</w:t>
            </w:r>
            <w:r>
              <w:rPr>
                <w:rFonts w:ascii="Times New Roman" w:hAnsi="Times New Roman"/>
                <w:b w:val="0"/>
                <w:i w:val="0"/>
                <w:sz w:val="17"/>
              </w:rPr>
              <w:t xml:space="preserve">, </w:t>
            </w:r>
            <w:r>
              <w:rPr>
                <w:rFonts w:ascii="Courier New" w:hAnsi="Courier New"/>
                <w:b w:val="0"/>
                <w:i w:val="0"/>
                <w:sz w:val="17"/>
              </w:rPr>
              <w:t>_wtcs.npy</w:t>
            </w:r>
          </w:p>
        </w:tc>
      </w:tr>
      <w:tr>
        <w:tc>
          <w:tcPr>
            <w:tcW w:type="dxa" w:w="4680"/>
          </w:tcPr>
          <w:p>
            <w:pPr>
              <w:spacing w:line="240" w:lineRule="auto" w:before="20" w:after="20"/>
            </w:pPr>
            <w:r/>
            <w:r>
              <w:rPr>
                <w:rFonts w:ascii="Times New Roman" w:hAnsi="Times New Roman"/>
                <w:b w:val="0"/>
                <w:i w:val="0"/>
                <w:sz w:val="17"/>
              </w:rPr>
              <w:t>candidate L1000 scores</w:t>
            </w:r>
          </w:p>
        </w:tc>
        <w:tc>
          <w:tcPr>
            <w:tcW w:type="dxa" w:w="4680"/>
          </w:tcPr>
          <w:p>
            <w:pPr>
              <w:spacing w:line="240" w:lineRule="auto" w:before="20" w:after="20"/>
            </w:pPr>
            <w:r/>
            <w:r>
              <w:rPr>
                <w:rFonts w:ascii="Courier New" w:hAnsi="Courier New"/>
                <w:b w:val="0"/>
                <w:i w:val="0"/>
                <w:sz w:val="17"/>
              </w:rPr>
              <w:t>03_results/S08_l1000_candidate_scores.csv</w:t>
            </w:r>
          </w:p>
        </w:tc>
      </w:tr>
      <w:tr>
        <w:tc>
          <w:tcPr>
            <w:tcW w:type="dxa" w:w="4680"/>
          </w:tcPr>
          <w:p>
            <w:pPr>
              <w:spacing w:line="240" w:lineRule="auto" w:before="20" w:after="20"/>
            </w:pPr>
            <w:r/>
            <w:r>
              <w:rPr>
                <w:rFonts w:ascii="Times New Roman" w:hAnsi="Times New Roman"/>
                <w:b w:val="0"/>
                <w:i w:val="0"/>
                <w:sz w:val="17"/>
              </w:rPr>
              <w:t>L1000 positive control / immuno-stimulatory overlap</w:t>
            </w:r>
          </w:p>
        </w:tc>
        <w:tc>
          <w:tcPr>
            <w:tcW w:type="dxa" w:w="4680"/>
          </w:tcPr>
          <w:p>
            <w:pPr>
              <w:spacing w:line="240" w:lineRule="auto" w:before="20" w:after="20"/>
            </w:pPr>
            <w:r/>
            <w:r>
              <w:rPr>
                <w:rFonts w:ascii="Courier New" w:hAnsi="Courier New"/>
                <w:b w:val="0"/>
                <w:i w:val="0"/>
                <w:sz w:val="17"/>
              </w:rPr>
              <w:t>03_results/S08_l1000_positive_control.csv</w:t>
            </w:r>
            <w:r>
              <w:rPr>
                <w:rFonts w:ascii="Times New Roman" w:hAnsi="Times New Roman"/>
                <w:b w:val="0"/>
                <w:i w:val="0"/>
                <w:sz w:val="17"/>
              </w:rPr>
              <w:t xml:space="preserve">, </w:t>
            </w:r>
            <w:r>
              <w:rPr>
                <w:rFonts w:ascii="Courier New" w:hAnsi="Courier New"/>
                <w:b w:val="0"/>
                <w:i w:val="0"/>
                <w:sz w:val="17"/>
              </w:rPr>
              <w:t>S08_l1000_immuno_overlap.csv</w:t>
            </w:r>
          </w:p>
        </w:tc>
      </w:tr>
      <w:tr>
        <w:tc>
          <w:tcPr>
            <w:tcW w:type="dxa" w:w="4680"/>
          </w:tcPr>
          <w:p>
            <w:pPr>
              <w:spacing w:line="240" w:lineRule="auto" w:before="20" w:after="20"/>
            </w:pPr>
            <w:r/>
            <w:r>
              <w:rPr>
                <w:rFonts w:ascii="Times New Roman" w:hAnsi="Times New Roman"/>
                <w:b w:val="0"/>
                <w:i w:val="0"/>
                <w:sz w:val="17"/>
              </w:rPr>
              <w:t>L1000 main library</w:t>
            </w:r>
          </w:p>
        </w:tc>
        <w:tc>
          <w:tcPr>
            <w:tcW w:type="dxa" w:w="4680"/>
          </w:tcPr>
          <w:p>
            <w:pPr>
              <w:spacing w:line="240" w:lineRule="auto" w:before="20" w:after="20"/>
            </w:pPr>
            <w:r/>
            <w:r>
              <w:rPr>
                <w:rFonts w:ascii="Courier New" w:hAnsi="Courier New"/>
                <w:b w:val="0"/>
                <w:i w:val="0"/>
                <w:sz w:val="17"/>
              </w:rPr>
              <w:t>01_data/LINCS/GSE92742_Level5_COMPZ.gctx</w:t>
            </w:r>
            <w:r>
              <w:rPr>
                <w:rFonts w:ascii="Times New Roman" w:hAnsi="Times New Roman"/>
                <w:b w:val="0"/>
                <w:i w:val="0"/>
                <w:sz w:val="17"/>
              </w:rPr>
              <w:t xml:space="preserve"> (GEO GSE92742, GPL sequencing-level)</w:t>
            </w:r>
          </w:p>
        </w:tc>
      </w:tr>
      <w:tr>
        <w:tc>
          <w:tcPr>
            <w:tcW w:type="dxa" w:w="4680"/>
          </w:tcPr>
          <w:p>
            <w:pPr>
              <w:spacing w:line="240" w:lineRule="auto" w:before="20" w:after="20"/>
            </w:pPr>
            <w:r/>
            <w:r>
              <w:rPr>
                <w:rFonts w:ascii="Times New Roman" w:hAnsi="Times New Roman"/>
                <w:b w:val="0"/>
                <w:i w:val="0"/>
                <w:sz w:val="17"/>
              </w:rPr>
              <w:t>S10 genetic MR (executed, three outcome sets)</w:t>
            </w:r>
          </w:p>
        </w:tc>
        <w:tc>
          <w:tcPr>
            <w:tcW w:type="dxa" w:w="4680"/>
          </w:tcPr>
          <w:p>
            <w:pPr>
              <w:spacing w:line="240" w:lineRule="auto" w:before="20" w:after="20"/>
            </w:pPr>
            <w:r/>
            <w:r>
              <w:rPr>
                <w:rFonts w:ascii="Times New Roman" w:hAnsi="Times New Roman"/>
                <w:b w:val="0"/>
                <w:i w:val="0"/>
                <w:sz w:val="17"/>
              </w:rPr>
              <w:t xml:space="preserve">primary 28-day death </w:t>
            </w:r>
            <w:r>
              <w:rPr>
                <w:rFonts w:ascii="Courier New" w:hAnsi="Courier New"/>
                <w:b w:val="0"/>
                <w:i w:val="0"/>
                <w:sz w:val="17"/>
              </w:rPr>
              <w:t>03_results/10_genetics_mr_outcome5086_28ddeath.csv</w:t>
            </w:r>
            <w:r>
              <w:rPr>
                <w:rFonts w:ascii="Times New Roman" w:hAnsi="Times New Roman"/>
                <w:b w:val="0"/>
                <w:i w:val="0"/>
                <w:sz w:val="17"/>
              </w:rPr>
              <w:t xml:space="preserve">; secondary susceptibility </w:t>
            </w:r>
            <w:r>
              <w:rPr>
                <w:rFonts w:ascii="Courier New" w:hAnsi="Courier New"/>
                <w:b w:val="0"/>
                <w:i w:val="0"/>
                <w:sz w:val="17"/>
              </w:rPr>
              <w:t>10_genetics_mr.csv</w:t>
            </w:r>
            <w:r>
              <w:rPr>
                <w:rFonts w:ascii="Times New Roman" w:hAnsi="Times New Roman"/>
                <w:b w:val="0"/>
                <w:i w:val="0"/>
                <w:sz w:val="17"/>
              </w:rPr>
              <w:t xml:space="preserve">; sensitivity critical care </w:t>
            </w:r>
            <w:r>
              <w:rPr>
                <w:rFonts w:ascii="Courier New" w:hAnsi="Courier New"/>
                <w:b w:val="0"/>
                <w:i w:val="0"/>
                <w:sz w:val="17"/>
              </w:rPr>
              <w:t>10_genetics_mr_outcome4982_criticalcare.csv</w:t>
            </w:r>
            <w:r>
              <w:rPr>
                <w:rFonts w:ascii="Times New Roman" w:hAnsi="Times New Roman"/>
                <w:b w:val="0"/>
                <w:i w:val="0"/>
                <w:sz w:val="17"/>
              </w:rPr>
              <w:t xml:space="preserve">; instrument-level </w:t>
            </w:r>
            <w:r>
              <w:rPr>
                <w:rFonts w:ascii="Courier New" w:hAnsi="Courier New"/>
                <w:b w:val="0"/>
                <w:i w:val="0"/>
                <w:sz w:val="17"/>
              </w:rPr>
              <w:t>*_harmonised.csv</w:t>
            </w:r>
            <w:r>
              <w:rPr>
                <w:rFonts w:ascii="Times New Roman" w:hAnsi="Times New Roman"/>
                <w:b w:val="0"/>
                <w:i w:val="0"/>
                <w:sz w:val="17"/>
              </w:rPr>
              <w:t xml:space="preserve">; </w:t>
            </w:r>
            <w:r>
              <w:rPr>
                <w:rFonts w:ascii="Courier New" w:hAnsi="Courier New"/>
                <w:b w:val="0"/>
                <w:i w:val="0"/>
                <w:sz w:val="17"/>
              </w:rPr>
              <w:t>10_genetics_mr_design.md</w:t>
            </w:r>
            <w:r>
              <w:rPr>
                <w:rFonts w:ascii="Times New Roman" w:hAnsi="Times New Roman"/>
                <w:b w:val="0"/>
                <w:i w:val="0"/>
                <w:sz w:val="17"/>
              </w:rPr>
              <w:t xml:space="preserve">; </w:t>
            </w:r>
            <w:r>
              <w:rPr>
                <w:rFonts w:ascii="Courier New" w:hAnsi="Courier New"/>
                <w:b w:val="0"/>
                <w:i w:val="0"/>
                <w:sz w:val="17"/>
              </w:rPr>
              <w:t>05_reports/s10_run_log*.txt</w:t>
            </w:r>
            <w:r>
              <w:rPr>
                <w:rFonts w:ascii="Times New Roman" w:hAnsi="Times New Roman"/>
                <w:b w:val="0"/>
                <w:i w:val="0"/>
                <w:sz w:val="17"/>
              </w:rPr>
              <w:t xml:space="preserve">; </w:t>
            </w:r>
            <w:r>
              <w:rPr>
                <w:rFonts w:ascii="Courier New" w:hAnsi="Courier New"/>
                <w:b w:val="0"/>
                <w:i w:val="0"/>
                <w:sz w:val="17"/>
              </w:rPr>
              <w:t>02_scripts/python/10_genetics_mr_run.py</w:t>
            </w:r>
            <w:r>
              <w:rPr>
                <w:rFonts w:ascii="Times New Roman" w:hAnsi="Times New Roman"/>
                <w:b w:val="0"/>
                <w:i w:val="0"/>
                <w:sz w:val="17"/>
              </w:rPr>
              <w:t xml:space="preserve">; family BH correction table </w:t>
            </w:r>
            <w:r>
              <w:rPr>
                <w:rFonts w:ascii="Courier New" w:hAnsi="Courier New"/>
                <w:b w:val="0"/>
                <w:i w:val="0"/>
                <w:sz w:val="17"/>
              </w:rPr>
              <w:t>10_mr_bh_family.csv</w:t>
            </w:r>
            <w:r>
              <w:rPr>
                <w:rFonts w:ascii="Times New Roman" w:hAnsi="Times New Roman"/>
                <w:b w:val="0"/>
                <w:i w:val="0"/>
                <w:sz w:val="17"/>
              </w:rPr>
              <w:t xml:space="preserve">; diagnostic plots </w:t>
            </w:r>
            <w:r>
              <w:rPr>
                <w:rFonts w:ascii="Courier New" w:hAnsi="Courier New"/>
                <w:b w:val="0"/>
                <w:i w:val="0"/>
                <w:sz w:val="17"/>
              </w:rPr>
              <w:t>04_figures/mr_forest.png</w:t>
            </w:r>
            <w:r>
              <w:rPr>
                <w:rFonts w:ascii="Times New Roman" w:hAnsi="Times New Roman"/>
                <w:b w:val="0"/>
                <w:i w:val="0"/>
                <w:sz w:val="17"/>
              </w:rPr>
              <w:t xml:space="preserve">, </w:t>
            </w:r>
            <w:r>
              <w:rPr>
                <w:rFonts w:ascii="Courier New" w:hAnsi="Courier New"/>
                <w:b w:val="0"/>
                <w:i w:val="0"/>
                <w:sz w:val="17"/>
              </w:rPr>
              <w:t>04_figures/mr_diag.png</w:t>
            </w:r>
          </w:p>
        </w:tc>
      </w:tr>
      <w:tr>
        <w:tc>
          <w:tcPr>
            <w:tcW w:type="dxa" w:w="4680"/>
          </w:tcPr>
          <w:p>
            <w:pPr>
              <w:spacing w:line="240" w:lineRule="auto" w:before="20" w:after="20"/>
            </w:pPr>
            <w:r/>
            <w:r>
              <w:rPr>
                <w:rFonts w:ascii="Times New Roman" w:hAnsi="Times New Roman"/>
                <w:b w:val="0"/>
                <w:i w:val="0"/>
                <w:sz w:val="17"/>
              </w:rPr>
              <w:t>S12 STROBE-MR checklist (with variant-selection flow)</w:t>
            </w:r>
          </w:p>
        </w:tc>
        <w:tc>
          <w:tcPr>
            <w:tcW w:type="dxa" w:w="4680"/>
          </w:tcPr>
          <w:p>
            <w:pPr>
              <w:spacing w:line="240" w:lineRule="auto" w:before="20" w:after="20"/>
            </w:pPr>
            <w:r/>
            <w:r>
              <w:rPr>
                <w:rFonts w:ascii="Courier New" w:hAnsi="Courier New"/>
                <w:b w:val="0"/>
                <w:i w:val="0"/>
                <w:sz w:val="17"/>
              </w:rPr>
              <w:t>03_results/12_strobe_mr_checklist.csv</w:t>
            </w:r>
          </w:p>
        </w:tc>
      </w:tr>
      <w:tr>
        <w:tc>
          <w:tcPr>
            <w:tcW w:type="dxa" w:w="4680"/>
          </w:tcPr>
          <w:p>
            <w:pPr>
              <w:spacing w:line="240" w:lineRule="auto" w:before="20" w:after="20"/>
            </w:pPr>
            <w:r/>
            <w:r>
              <w:rPr>
                <w:rFonts w:ascii="Times New Roman" w:hAnsi="Times New Roman"/>
                <w:b w:val="0"/>
                <w:i w:val="0"/>
                <w:sz w:val="17"/>
              </w:rPr>
              <w:t>S11 in-vitro validation design</w:t>
            </w:r>
          </w:p>
        </w:tc>
        <w:tc>
          <w:tcPr>
            <w:tcW w:type="dxa" w:w="4680"/>
          </w:tcPr>
          <w:p>
            <w:pPr>
              <w:spacing w:line="240" w:lineRule="auto" w:before="20" w:after="20"/>
            </w:pPr>
            <w:r/>
            <w:r>
              <w:rPr>
                <w:rFonts w:ascii="Courier New" w:hAnsi="Courier New"/>
                <w:b w:val="0"/>
                <w:i w:val="0"/>
                <w:sz w:val="17"/>
              </w:rPr>
              <w:t>03_results/11_validation_design.md</w:t>
            </w:r>
          </w:p>
        </w:tc>
      </w:tr>
      <w:tr>
        <w:tc>
          <w:tcPr>
            <w:tcW w:type="dxa" w:w="4680"/>
          </w:tcPr>
          <w:p>
            <w:pPr>
              <w:spacing w:line="240" w:lineRule="auto" w:before="20" w:after="20"/>
            </w:pPr>
            <w:r/>
            <w:r>
              <w:rPr>
                <w:rFonts w:ascii="Times New Roman" w:hAnsi="Times New Roman"/>
                <w:b w:val="0"/>
                <w:i w:val="0"/>
                <w:sz w:val="17"/>
              </w:rPr>
              <w:t>full-pipeline summary</w:t>
            </w:r>
          </w:p>
        </w:tc>
        <w:tc>
          <w:tcPr>
            <w:tcW w:type="dxa" w:w="4680"/>
          </w:tcPr>
          <w:p>
            <w:pPr>
              <w:spacing w:line="240" w:lineRule="auto" w:before="20" w:after="20"/>
            </w:pPr>
            <w:r/>
            <w:r>
              <w:rPr>
                <w:rFonts w:ascii="Courier New" w:hAnsi="Courier New"/>
                <w:b w:val="0"/>
                <w:i w:val="0"/>
                <w:sz w:val="17"/>
              </w:rPr>
              <w:t>05_reports/tier1_summary.txt</w:t>
            </w:r>
          </w:p>
        </w:tc>
      </w:tr>
    </w:tbl>
    <w:p>
      <w:pPr>
        <w:spacing w:line="240" w:lineRule="auto" w:before="0" w:after="120"/>
      </w:pPr>
    </w:p>
    <w:p>
      <w:pPr>
        <w:spacing w:before="160" w:after="80"/>
      </w:pPr>
      <w:r>
        <w:rPr>
          <w:rFonts w:ascii="Times New Roman" w:hAnsi="Times New Roman"/>
          <w:b/>
          <w:i w:val="0"/>
          <w:sz w:val="25"/>
        </w:rPr>
        <w:t>8. Supplementary materials index</w:t>
      </w:r>
    </w:p>
    <w:p>
      <w:pPr>
        <w:spacing w:before="0" w:after="80"/>
      </w:pPr>
      <w:r>
        <w:rPr>
          <w:rFonts w:ascii="Times New Roman" w:hAnsi="Times New Roman"/>
          <w:b w:val="0"/>
          <w:i w:val="0"/>
        </w:rPr>
        <w:t xml:space="preserve">All supplementary tables are deposited as CSV in </w:t>
      </w:r>
      <w:r>
        <w:rPr>
          <w:rFonts w:ascii="Courier New" w:hAnsi="Courier New"/>
          <w:b w:val="0"/>
          <w:i w:val="0"/>
        </w:rPr>
        <w:t>03_results/</w:t>
      </w:r>
      <w:r>
        <w:rPr>
          <w:rFonts w:ascii="Times New Roman" w:hAnsi="Times New Roman"/>
          <w:b w:val="0"/>
          <w:i w:val="0"/>
        </w:rPr>
        <w:t xml:space="preserve"> and all figures as PNG in </w:t>
      </w:r>
      <w:r>
        <w:rPr>
          <w:rFonts w:ascii="Courier New" w:hAnsi="Courier New"/>
          <w:b w:val="0"/>
          <w:i w:val="0"/>
        </w:rPr>
        <w:t>04_figures/</w:t>
      </w:r>
      <w:r>
        <w:rPr>
          <w:rFonts w:ascii="Times New Roman" w:hAnsi="Times New Roman"/>
          <w:b w:val="0"/>
          <w:i w:val="0"/>
        </w:rPr>
        <w:t>; every number in the manuscript traces to one of these files (see §7).</w:t>
      </w:r>
    </w:p>
    <w:p>
      <w:pPr>
        <w:spacing w:before="0" w:after="80"/>
      </w:pPr>
      <w:r>
        <w:rPr>
          <w:rFonts w:ascii="Times New Roman" w:hAnsi="Times New Roman"/>
          <w:b/>
          <w:i w:val="0"/>
        </w:rPr>
        <w:t>Supplementary tables.</w:t>
      </w:r>
      <w:r>
        <w:rPr>
          <w:rFonts w:ascii="Times New Roman" w:hAnsi="Times New Roman"/>
          <w:b w:val="0"/>
          <w:i w:val="0"/>
        </w:rPr>
        <w:t xml:space="preserve"> S01 — Mars1 differential expression and consensus immune-gene direction (Mars1-vs-Other and sepsis-vs-healthy). S02 — immune-function score by MARS endotype. S04 — curated immune-gene sets. S05 — hub-gene selection (LASSO / RF / univariate consensus) and the FIS1 co-expression passenger. S06 — 30-gene signature genes and cross-validated AUC. S07 — hub and axis cellular-context marker-module correlations. S08 — mechanism-anchored repositioning shortlist, positive-control check, and L1000 reverse-connectivity scores (candidates, full library, glucocorticoid caveat, immuno-overlap). S08b — clinical-translation status of each candidate. S09 — (deferred by design; see Limitation 7). S10 — two-sample MR inputs, per-outcome and family-BH outputs, harmonised instrument tables, and design log. S11 — experimental validation blueprint (LPS-tolerance / patient-cell assays). S12 — STROBE-MR checklist.</w:t>
      </w:r>
    </w:p>
    <w:p>
      <w:pPr>
        <w:spacing w:before="0" w:after="80"/>
      </w:pPr>
      <w:r>
        <w:rPr>
          <w:rFonts w:ascii="Times New Roman" w:hAnsi="Times New Roman"/>
          <w:b/>
          <w:i w:val="0"/>
        </w:rPr>
        <w:t>Figures (inline-captioned).</w:t>
      </w:r>
      <w:r>
        <w:rPr>
          <w:rFonts w:ascii="Times New Roman" w:hAnsi="Times New Roman"/>
          <w:b w:val="0"/>
          <w:i w:val="0"/>
        </w:rPr>
        <w:t xml:space="preserve"> Fig. S1 (Mars1 28-d ROC), S2 (score vs endotype), S3A/B (hub genes; eigengene–trait correlation), S6A/B (CV and training ROC), S6C (decision-curve analysis), S7 (cellular context), S9 (external-cohort ROC), S10 (L1000 rescuers), and the two MR diagnostic figures — </w:t>
      </w:r>
      <w:r>
        <w:rPr>
          <w:rFonts w:ascii="Courier New" w:hAnsi="Courier New"/>
          <w:b w:val="0"/>
          <w:i w:val="0"/>
        </w:rPr>
        <w:t>mr_forest.png</w:t>
      </w:r>
      <w:r>
        <w:rPr>
          <w:rFonts w:ascii="Times New Roman" w:hAnsi="Times New Roman"/>
          <w:b w:val="0"/>
          <w:i w:val="0"/>
        </w:rPr>
        <w:t xml:space="preserve"> (15-test forest) and </w:t>
      </w:r>
      <w:r>
        <w:rPr>
          <w:rFonts w:ascii="Courier New" w:hAnsi="Courier New"/>
          <w:b w:val="0"/>
          <w:i w:val="0"/>
        </w:rPr>
        <w:t>mr_diag.png</w:t>
      </w:r>
      <w:r>
        <w:rPr>
          <w:rFonts w:ascii="Times New Roman" w:hAnsi="Times New Roman"/>
          <w:b w:val="0"/>
          <w:i w:val="0"/>
        </w:rPr>
        <w:t>, a four-panel overlay comprising the CD14 28-day-death scatter with IVW/Egger fits, the CD14 Egger funnel, the CD14 leave-one-out analysis, and the CD74 critical-care scatter.</w:t>
      </w:r>
    </w:p>
    <w:p>
      <w:pPr>
        <w:spacing w:before="160" w:after="80"/>
      </w:pPr>
      <w:r>
        <w:rPr>
          <w:rFonts w:ascii="Times New Roman" w:hAnsi="Times New Roman"/>
          <w:b/>
          <w:i w:val="0"/>
          <w:sz w:val="25"/>
        </w:rPr>
        <w:t>Data availability</w:t>
      </w:r>
    </w:p>
    <w:p>
      <w:pPr>
        <w:spacing w:before="0" w:after="80"/>
      </w:pPr>
      <w:r>
        <w:rPr>
          <w:rFonts w:ascii="Times New Roman" w:hAnsi="Times New Roman"/>
          <w:b w:val="0"/>
          <w:i w:val="0"/>
        </w:rPr>
        <w:t xml:space="preserve">All result tables (03_results/) and analysis code are released under MIT in the versioned repository at https://github.com/yyx-4113/sepsis-immunoparalysis-hub. A citable versioned snapshot is provided as a GitHub release (tag v1.19.1); a Zenodo DOI will be minted and made public on acceptance (the current evaluated commit 1212f7b is tagged v1.16.0, and this v1.19.1 release is built on top of it). The GSE65682 processed expression / phenotype matrix is regenerable from GEO (platform GPL13667) via the deposited processing scripts; E-MTAB-4451 is obtained as the published normalised matrix from ArrayExpress/BioStudies (platform GPL10558). The large raw inputs (~43 GB) are mirrored per DATA_SOURCES.md and are excluded from the repository for size. This study </w:t>
      </w:r>
      <w:r>
        <w:rPr>
          <w:rFonts w:ascii="Times New Roman" w:hAnsi="Times New Roman"/>
          <w:b/>
          <w:i w:val="0"/>
        </w:rPr>
        <w:t>used and re-analyzed public research data</w:t>
      </w:r>
      <w:r>
        <w:rPr>
          <w:rFonts w:ascii="Times New Roman" w:hAnsi="Times New Roman"/>
          <w:b w:val="0"/>
          <w:i w:val="0"/>
        </w:rPr>
        <w:t xml:space="preserve"> (GEO/ArrayExpress); no new primary data were generated. Code is released under MIT with a CITATION.cff. Supplementary tables S01–S12 accompany the manuscript as deposited CSV and figure files (see §7 for the file map).</w:t>
      </w:r>
    </w:p>
    <w:p>
      <w:pPr>
        <w:spacing w:before="160" w:after="80"/>
      </w:pPr>
      <w:r>
        <w:rPr>
          <w:rFonts w:ascii="Times New Roman" w:hAnsi="Times New Roman"/>
          <w:b/>
          <w:i w:val="0"/>
          <w:sz w:val="25"/>
        </w:rPr>
        <w:t>Code availability</w:t>
      </w:r>
    </w:p>
    <w:p>
      <w:pPr>
        <w:spacing w:before="0" w:after="80"/>
      </w:pPr>
      <w:r>
        <w:rPr>
          <w:rFonts w:ascii="Times New Roman" w:hAnsi="Times New Roman"/>
          <w:b w:val="0"/>
          <w:i w:val="0"/>
        </w:rPr>
        <w:t xml:space="preserve">Analysis code is released under the MIT licence in the versioned repository at https://github.com/yyx-4113/sepsis-immunoparalysis-hub (citable GitHub release, tag v1.19.1; CITATION.cff included). The OpenGWAS API server certificate was expired at the time of the cited MR run, so certificate verification was disabled for that request (see </w:t>
      </w:r>
      <w:r>
        <w:rPr>
          <w:rFonts w:ascii="Courier New" w:hAnsi="Courier New"/>
          <w:b w:val="0"/>
          <w:i w:val="0"/>
        </w:rPr>
        <w:t>10_genetics_mr_run.py</w:t>
      </w:r>
      <w:r>
        <w:rPr>
          <w:rFonts w:ascii="Times New Roman" w:hAnsi="Times New Roman"/>
          <w:b w:val="0"/>
          <w:i w:val="0"/>
        </w:rPr>
        <w:t>); all MR outputs are deposited, so re-running is optional.</w:t>
      </w:r>
    </w:p>
    <w:p>
      <w:pPr>
        <w:spacing w:before="160" w:after="80"/>
      </w:pPr>
      <w:r>
        <w:rPr>
          <w:rFonts w:ascii="Times New Roman" w:hAnsi="Times New Roman"/>
          <w:b/>
          <w:i w:val="0"/>
          <w:sz w:val="25"/>
        </w:rPr>
        <w:t>Ethics statement</w:t>
      </w:r>
    </w:p>
    <w:p>
      <w:pPr>
        <w:spacing w:before="0" w:after="80"/>
      </w:pPr>
      <w:r>
        <w:rPr>
          <w:rFonts w:ascii="Times New Roman" w:hAnsi="Times New Roman"/>
          <w:b w:val="0"/>
          <w:i w:val="0"/>
        </w:rPr>
        <w:t>This is a purely computational re-analysis of public, de-identified transcriptomic cohorts (GSE65682; E-MTAB-4451); no additional IRB approval was required for the bioinformatics. The companion experimental validation (S11) is a prospective design requiring independent IRB approval before any sample collection. The source cohorts were approved by their respective institutional review boards with informed consent / opt-out as reported in the original publications (MARS consortium [5]; Davenport et al. [15]).</w:t>
      </w:r>
    </w:p>
    <w:p>
      <w:pPr>
        <w:spacing w:before="160" w:after="80"/>
      </w:pPr>
      <w:r>
        <w:rPr>
          <w:rFonts w:ascii="Times New Roman" w:hAnsi="Times New Roman"/>
          <w:b/>
          <w:i w:val="0"/>
          <w:sz w:val="25"/>
        </w:rPr>
        <w:t>Author contributions</w:t>
      </w:r>
    </w:p>
    <w:p>
      <w:pPr>
        <w:spacing w:before="0" w:after="80"/>
      </w:pPr>
      <w:r>
        <w:rPr>
          <w:rFonts w:ascii="Times New Roman" w:hAnsi="Times New Roman"/>
          <w:b w:val="0"/>
          <w:i w:val="0"/>
        </w:rPr>
        <w:t>YY conceived the study, performed all bioinformatics, wrote the manuscript, and approved the final version.</w:t>
      </w:r>
    </w:p>
    <w:p>
      <w:pPr>
        <w:spacing w:before="160" w:after="80"/>
      </w:pPr>
      <w:r>
        <w:rPr>
          <w:rFonts w:ascii="Times New Roman" w:hAnsi="Times New Roman"/>
          <w:b/>
          <w:i w:val="0"/>
          <w:sz w:val="25"/>
        </w:rPr>
        <w:t>Funding</w:t>
      </w:r>
    </w:p>
    <w:p>
      <w:pPr>
        <w:spacing w:before="0" w:after="80"/>
      </w:pPr>
      <w:r>
        <w:rPr>
          <w:rFonts w:ascii="Times New Roman" w:hAnsi="Times New Roman"/>
          <w:b w:val="0"/>
          <w:i w:val="0"/>
        </w:rPr>
        <w:t>This work received no specific grant from any funding agency or commercial entity. The author is solely responsible for all costs associated with this study.</w:t>
      </w:r>
    </w:p>
    <w:p>
      <w:pPr>
        <w:spacing w:before="160" w:after="80"/>
      </w:pPr>
      <w:r>
        <w:rPr>
          <w:rFonts w:ascii="Times New Roman" w:hAnsi="Times New Roman"/>
          <w:b/>
          <w:i w:val="0"/>
          <w:sz w:val="25"/>
        </w:rPr>
        <w:t>Competing interests</w:t>
      </w:r>
    </w:p>
    <w:p>
      <w:pPr>
        <w:spacing w:before="0" w:after="80"/>
      </w:pPr>
      <w:r>
        <w:rPr>
          <w:rFonts w:ascii="Times New Roman" w:hAnsi="Times New Roman"/>
          <w:b w:val="0"/>
          <w:i w:val="0"/>
        </w:rPr>
        <w:t>The author declares no competing interests.</w:t>
      </w:r>
    </w:p>
    <w:p>
      <w:pPr>
        <w:spacing w:before="160" w:after="80"/>
      </w:pPr>
      <w:r>
        <w:rPr>
          <w:rFonts w:ascii="Times New Roman" w:hAnsi="Times New Roman"/>
          <w:b/>
          <w:i w:val="0"/>
          <w:sz w:val="25"/>
        </w:rPr>
        <w:t>Acknowledgements</w:t>
      </w:r>
    </w:p>
    <w:p>
      <w:pPr>
        <w:spacing w:before="0" w:after="80"/>
      </w:pPr>
      <w:r>
        <w:rPr>
          <w:rFonts w:ascii="Times New Roman" w:hAnsi="Times New Roman"/>
          <w:b w:val="0"/>
          <w:i w:val="0"/>
        </w:rPr>
        <w:t>The author thanks the MARS consortium and Davenport et al. for making GSE65682 and E-MTAB-4451 publicly available, and the developers and maintainers of GEOparse, limma, TwoSampleMR, the IEU OpenGWAS platform and the LINCS L1000 resource for open analytical tooling and data.</w:t>
      </w:r>
    </w:p>
    <w:p>
      <w:pPr>
        <w:spacing w:before="160" w:after="80"/>
      </w:pPr>
      <w:r>
        <w:rPr>
          <w:rFonts w:ascii="Times New Roman" w:hAnsi="Times New Roman"/>
          <w:b/>
          <w:i w:val="0"/>
          <w:sz w:val="25"/>
        </w:rPr>
        <w:t>References</w:t>
      </w:r>
    </w:p>
    <w:p>
      <w:pPr>
        <w:spacing w:before="0" w:after="80"/>
      </w:pPr>
      <w:r>
        <w:rPr>
          <w:rFonts w:ascii="Times New Roman" w:hAnsi="Times New Roman"/>
          <w:b w:val="0"/>
          <w:i w:val="0"/>
        </w:rPr>
        <w:t xml:space="preserve">1. Singer, M. et al. The third international consensus definitions for sepsis and septic shock (Sepsis-3). </w:t>
      </w:r>
      <w:r>
        <w:rPr>
          <w:rFonts w:ascii="Times New Roman" w:hAnsi="Times New Roman"/>
          <w:b w:val="0"/>
          <w:i/>
        </w:rPr>
        <w:t>JAMA</w:t>
      </w:r>
      <w:r>
        <w:rPr>
          <w:rFonts w:ascii="Times New Roman" w:hAnsi="Times New Roman"/>
          <w:b w:val="0"/>
          <w:i w:val="0"/>
        </w:rPr>
        <w:t xml:space="preserve"> </w:t>
      </w:r>
      <w:r>
        <w:rPr>
          <w:rFonts w:ascii="Times New Roman" w:hAnsi="Times New Roman"/>
          <w:b/>
          <w:i w:val="0"/>
        </w:rPr>
        <w:t>315</w:t>
      </w:r>
      <w:r>
        <w:rPr>
          <w:rFonts w:ascii="Times New Roman" w:hAnsi="Times New Roman"/>
          <w:b w:val="0"/>
          <w:i w:val="0"/>
        </w:rPr>
        <w:t>, 801–810 (2016). doi:10.1001/jama.2016.0287</w:t>
      </w:r>
    </w:p>
    <w:p>
      <w:pPr>
        <w:spacing w:before="0" w:after="80"/>
      </w:pPr>
      <w:r>
        <w:rPr>
          <w:rFonts w:ascii="Times New Roman" w:hAnsi="Times New Roman"/>
          <w:b w:val="0"/>
          <w:i w:val="0"/>
        </w:rPr>
        <w:t xml:space="preserve">2. Boomer, J. S. et al. Immunosuppression in patients who die of sepsis and multiple organ failure. </w:t>
      </w:r>
      <w:r>
        <w:rPr>
          <w:rFonts w:ascii="Times New Roman" w:hAnsi="Times New Roman"/>
          <w:b w:val="0"/>
          <w:i/>
        </w:rPr>
        <w:t>JAMA</w:t>
      </w:r>
      <w:r>
        <w:rPr>
          <w:rFonts w:ascii="Times New Roman" w:hAnsi="Times New Roman"/>
          <w:b w:val="0"/>
          <w:i w:val="0"/>
        </w:rPr>
        <w:t xml:space="preserve"> </w:t>
      </w:r>
      <w:r>
        <w:rPr>
          <w:rFonts w:ascii="Times New Roman" w:hAnsi="Times New Roman"/>
          <w:b/>
          <w:i w:val="0"/>
        </w:rPr>
        <w:t>306</w:t>
      </w:r>
      <w:r>
        <w:rPr>
          <w:rFonts w:ascii="Times New Roman" w:hAnsi="Times New Roman"/>
          <w:b w:val="0"/>
          <w:i w:val="0"/>
        </w:rPr>
        <w:t>, 2594–2603 (2011). doi:10.1001/jama.2011.1829</w:t>
      </w:r>
    </w:p>
    <w:p>
      <w:pPr>
        <w:spacing w:before="0" w:after="80"/>
      </w:pPr>
      <w:r>
        <w:rPr>
          <w:rFonts w:ascii="Times New Roman" w:hAnsi="Times New Roman"/>
          <w:b w:val="0"/>
          <w:i w:val="0"/>
        </w:rPr>
        <w:t xml:space="preserve">3. Hotchkiss, R. S., Monneret, G. &amp; Payen, D. Sepsis-induced immunosuppression: from cellular dysfunctions to immunotherapy. </w:t>
      </w:r>
      <w:r>
        <w:rPr>
          <w:rFonts w:ascii="Times New Roman" w:hAnsi="Times New Roman"/>
          <w:b w:val="0"/>
          <w:i/>
        </w:rPr>
        <w:t>Nat. Rev. Immunol.</w:t>
      </w:r>
      <w:r>
        <w:rPr>
          <w:rFonts w:ascii="Times New Roman" w:hAnsi="Times New Roman"/>
          <w:b w:val="0"/>
          <w:i w:val="0"/>
        </w:rPr>
        <w:t xml:space="preserve"> </w:t>
      </w:r>
      <w:r>
        <w:rPr>
          <w:rFonts w:ascii="Times New Roman" w:hAnsi="Times New Roman"/>
          <w:b/>
          <w:i w:val="0"/>
        </w:rPr>
        <w:t>13</w:t>
      </w:r>
      <w:r>
        <w:rPr>
          <w:rFonts w:ascii="Times New Roman" w:hAnsi="Times New Roman"/>
          <w:b w:val="0"/>
          <w:i w:val="0"/>
        </w:rPr>
        <w:t>, 862–874 (2013). doi:10.1038/nri3552</w:t>
      </w:r>
    </w:p>
    <w:p>
      <w:pPr>
        <w:spacing w:before="0" w:after="80"/>
      </w:pPr>
      <w:r>
        <w:rPr>
          <w:rFonts w:ascii="Times New Roman" w:hAnsi="Times New Roman"/>
          <w:b w:val="0"/>
          <w:i w:val="0"/>
        </w:rPr>
        <w:t xml:space="preserve">4. van der Poll, T., van de Veerdonk, F. L., Scicluna, B. P. &amp; Netea, M. G. The immunopathology of sepsis and potential therapeutic targets. </w:t>
      </w:r>
      <w:r>
        <w:rPr>
          <w:rFonts w:ascii="Times New Roman" w:hAnsi="Times New Roman"/>
          <w:b w:val="0"/>
          <w:i/>
        </w:rPr>
        <w:t>Nat. Rev. Immunol.</w:t>
      </w:r>
      <w:r>
        <w:rPr>
          <w:rFonts w:ascii="Times New Roman" w:hAnsi="Times New Roman"/>
          <w:b w:val="0"/>
          <w:i w:val="0"/>
        </w:rPr>
        <w:t xml:space="preserve"> </w:t>
      </w:r>
      <w:r>
        <w:rPr>
          <w:rFonts w:ascii="Times New Roman" w:hAnsi="Times New Roman"/>
          <w:b/>
          <w:i w:val="0"/>
        </w:rPr>
        <w:t>17</w:t>
      </w:r>
      <w:r>
        <w:rPr>
          <w:rFonts w:ascii="Times New Roman" w:hAnsi="Times New Roman"/>
          <w:b w:val="0"/>
          <w:i w:val="0"/>
        </w:rPr>
        <w:t>, 407–420 (2017). doi:10.1038/nri.2017.36</w:t>
      </w:r>
    </w:p>
    <w:p>
      <w:pPr>
        <w:spacing w:before="0" w:after="80"/>
      </w:pPr>
      <w:r>
        <w:rPr>
          <w:rFonts w:ascii="Times New Roman" w:hAnsi="Times New Roman"/>
          <w:b w:val="0"/>
          <w:i w:val="0"/>
        </w:rPr>
        <w:t xml:space="preserve">5. Scicluna, B. P. et al. Classification of patients with sepsis according to blood genomic endotype: a prospective cohort study. </w:t>
      </w:r>
      <w:r>
        <w:rPr>
          <w:rFonts w:ascii="Times New Roman" w:hAnsi="Times New Roman"/>
          <w:b w:val="0"/>
          <w:i/>
        </w:rPr>
        <w:t>Lancet Respir. Med.</w:t>
      </w:r>
      <w:r>
        <w:rPr>
          <w:rFonts w:ascii="Times New Roman" w:hAnsi="Times New Roman"/>
          <w:b w:val="0"/>
          <w:i w:val="0"/>
        </w:rPr>
        <w:t xml:space="preserve"> </w:t>
      </w:r>
      <w:r>
        <w:rPr>
          <w:rFonts w:ascii="Times New Roman" w:hAnsi="Times New Roman"/>
          <w:b/>
          <w:i w:val="0"/>
        </w:rPr>
        <w:t>5</w:t>
      </w:r>
      <w:r>
        <w:rPr>
          <w:rFonts w:ascii="Times New Roman" w:hAnsi="Times New Roman"/>
          <w:b w:val="0"/>
          <w:i w:val="0"/>
        </w:rPr>
        <w:t>, 816–826 (2017). doi:10.1016/S2213-2600(17)30294-1</w:t>
      </w:r>
    </w:p>
    <w:p>
      <w:pPr>
        <w:spacing w:before="0" w:after="80"/>
      </w:pPr>
      <w:r>
        <w:rPr>
          <w:rFonts w:ascii="Times New Roman" w:hAnsi="Times New Roman"/>
          <w:b w:val="0"/>
          <w:i w:val="0"/>
        </w:rPr>
        <w:t xml:space="preserve">6. Seymour, C. W. et al. Derivation, validation, and potential treatment implications of novel clinical phenotypes for sepsis. </w:t>
      </w:r>
      <w:r>
        <w:rPr>
          <w:rFonts w:ascii="Times New Roman" w:hAnsi="Times New Roman"/>
          <w:b w:val="0"/>
          <w:i/>
        </w:rPr>
        <w:t>JAMA</w:t>
      </w:r>
      <w:r>
        <w:rPr>
          <w:rFonts w:ascii="Times New Roman" w:hAnsi="Times New Roman"/>
          <w:b w:val="0"/>
          <w:i w:val="0"/>
        </w:rPr>
        <w:t xml:space="preserve"> </w:t>
      </w:r>
      <w:r>
        <w:rPr>
          <w:rFonts w:ascii="Times New Roman" w:hAnsi="Times New Roman"/>
          <w:b/>
          <w:i w:val="0"/>
        </w:rPr>
        <w:t>321</w:t>
      </w:r>
      <w:r>
        <w:rPr>
          <w:rFonts w:ascii="Times New Roman" w:hAnsi="Times New Roman"/>
          <w:b w:val="0"/>
          <w:i w:val="0"/>
        </w:rPr>
        <w:t>, 2003–2017 (2019). doi:10.1001/jama.2019.5791</w:t>
      </w:r>
    </w:p>
    <w:p>
      <w:pPr>
        <w:spacing w:before="0" w:after="80"/>
      </w:pPr>
      <w:r>
        <w:rPr>
          <w:rFonts w:ascii="Times New Roman" w:hAnsi="Times New Roman"/>
          <w:b w:val="0"/>
          <w:i w:val="0"/>
        </w:rPr>
        <w:t xml:space="preserve">7. Edgar, R. Gene Expression Omnibus: NCBI gene expression and hybridization array data repository. </w:t>
      </w:r>
      <w:r>
        <w:rPr>
          <w:rFonts w:ascii="Times New Roman" w:hAnsi="Times New Roman"/>
          <w:b w:val="0"/>
          <w:i/>
        </w:rPr>
        <w:t>Nucleic Acids Res.</w:t>
      </w:r>
      <w:r>
        <w:rPr>
          <w:rFonts w:ascii="Times New Roman" w:hAnsi="Times New Roman"/>
          <w:b w:val="0"/>
          <w:i w:val="0"/>
        </w:rPr>
        <w:t xml:space="preserve"> </w:t>
      </w:r>
      <w:r>
        <w:rPr>
          <w:rFonts w:ascii="Times New Roman" w:hAnsi="Times New Roman"/>
          <w:b/>
          <w:i w:val="0"/>
        </w:rPr>
        <w:t>30</w:t>
      </w:r>
      <w:r>
        <w:rPr>
          <w:rFonts w:ascii="Times New Roman" w:hAnsi="Times New Roman"/>
          <w:b w:val="0"/>
          <w:i w:val="0"/>
        </w:rPr>
        <w:t>, 207–210 (2002). doi:10.1093/nar/30.1.207</w:t>
      </w:r>
    </w:p>
    <w:p>
      <w:pPr>
        <w:spacing w:before="0" w:after="80"/>
      </w:pPr>
      <w:r>
        <w:rPr>
          <w:rFonts w:ascii="Times New Roman" w:hAnsi="Times New Roman"/>
          <w:b w:val="0"/>
          <w:i w:val="0"/>
        </w:rPr>
        <w:t xml:space="preserve">8. Peng, Y. et al. An immune-related gene signature predicts the 28-day mortality in patients with sepsis. </w:t>
      </w:r>
      <w:r>
        <w:rPr>
          <w:rFonts w:ascii="Times New Roman" w:hAnsi="Times New Roman"/>
          <w:b w:val="0"/>
          <w:i/>
        </w:rPr>
        <w:t>Front. Immunol.</w:t>
      </w:r>
      <w:r>
        <w:rPr>
          <w:rFonts w:ascii="Times New Roman" w:hAnsi="Times New Roman"/>
          <w:b w:val="0"/>
          <w:i w:val="0"/>
        </w:rPr>
        <w:t xml:space="preserve"> </w:t>
      </w:r>
      <w:r>
        <w:rPr>
          <w:rFonts w:ascii="Times New Roman" w:hAnsi="Times New Roman"/>
          <w:b/>
          <w:i w:val="0"/>
        </w:rPr>
        <w:t>14</w:t>
      </w:r>
      <w:r>
        <w:rPr>
          <w:rFonts w:ascii="Times New Roman" w:hAnsi="Times New Roman"/>
          <w:b w:val="0"/>
          <w:i w:val="0"/>
        </w:rPr>
        <w:t>, 1152117 (2023). doi:10.3389/fimmu.2023.1152117</w:t>
      </w:r>
    </w:p>
    <w:p>
      <w:pPr>
        <w:spacing w:before="0" w:after="80"/>
      </w:pPr>
      <w:r>
        <w:rPr>
          <w:rFonts w:ascii="Times New Roman" w:hAnsi="Times New Roman"/>
          <w:b w:val="0"/>
          <w:i w:val="0"/>
        </w:rPr>
        <w:t xml:space="preserve">9. Ritchie, M. E. et al. limma powers differential expression analyses for RNA-sequencing and microarray studies. </w:t>
      </w:r>
      <w:r>
        <w:rPr>
          <w:rFonts w:ascii="Times New Roman" w:hAnsi="Times New Roman"/>
          <w:b w:val="0"/>
          <w:i/>
        </w:rPr>
        <w:t>Nucleic Acids Res.</w:t>
      </w:r>
      <w:r>
        <w:rPr>
          <w:rFonts w:ascii="Times New Roman" w:hAnsi="Times New Roman"/>
          <w:b w:val="0"/>
          <w:i w:val="0"/>
        </w:rPr>
        <w:t xml:space="preserve"> </w:t>
      </w:r>
      <w:r>
        <w:rPr>
          <w:rFonts w:ascii="Times New Roman" w:hAnsi="Times New Roman"/>
          <w:b/>
          <w:i w:val="0"/>
        </w:rPr>
        <w:t>43</w:t>
      </w:r>
      <w:r>
        <w:rPr>
          <w:rFonts w:ascii="Times New Roman" w:hAnsi="Times New Roman"/>
          <w:b w:val="0"/>
          <w:i w:val="0"/>
        </w:rPr>
        <w:t>, e47 (2015). doi:10.1093/nar/gkv007</w:t>
      </w:r>
    </w:p>
    <w:p>
      <w:pPr>
        <w:spacing w:before="0" w:after="80"/>
      </w:pPr>
      <w:r>
        <w:rPr>
          <w:rFonts w:ascii="Times New Roman" w:hAnsi="Times New Roman"/>
          <w:b w:val="0"/>
          <w:i w:val="0"/>
        </w:rPr>
        <w:t xml:space="preserve">10. Langfelder, P. &amp; Horvath, S. WGCNA: an R package for weighted correlation network analysis. </w:t>
      </w:r>
      <w:r>
        <w:rPr>
          <w:rFonts w:ascii="Times New Roman" w:hAnsi="Times New Roman"/>
          <w:b w:val="0"/>
          <w:i/>
        </w:rPr>
        <w:t>BMC Bioinformatics</w:t>
      </w:r>
      <w:r>
        <w:rPr>
          <w:rFonts w:ascii="Times New Roman" w:hAnsi="Times New Roman"/>
          <w:b w:val="0"/>
          <w:i w:val="0"/>
        </w:rPr>
        <w:t xml:space="preserve"> </w:t>
      </w:r>
      <w:r>
        <w:rPr>
          <w:rFonts w:ascii="Times New Roman" w:hAnsi="Times New Roman"/>
          <w:b/>
          <w:i w:val="0"/>
        </w:rPr>
        <w:t>9</w:t>
      </w:r>
      <w:r>
        <w:rPr>
          <w:rFonts w:ascii="Times New Roman" w:hAnsi="Times New Roman"/>
          <w:b w:val="0"/>
          <w:i w:val="0"/>
        </w:rPr>
        <w:t>, 559 (2008). doi:10.1186/1471-2105-9-559</w:t>
      </w:r>
    </w:p>
    <w:p>
      <w:pPr>
        <w:spacing w:before="0" w:after="80"/>
      </w:pPr>
      <w:r>
        <w:rPr>
          <w:rFonts w:ascii="Times New Roman" w:hAnsi="Times New Roman"/>
          <w:b w:val="0"/>
          <w:i w:val="0"/>
        </w:rPr>
        <w:t xml:space="preserve">11. Newman, A. M. et al. Robust enumeration of cell subsets from tissue expression profiles. </w:t>
      </w:r>
      <w:r>
        <w:rPr>
          <w:rFonts w:ascii="Times New Roman" w:hAnsi="Times New Roman"/>
          <w:b w:val="0"/>
          <w:i/>
        </w:rPr>
        <w:t>Nat. Methods</w:t>
      </w:r>
      <w:r>
        <w:rPr>
          <w:rFonts w:ascii="Times New Roman" w:hAnsi="Times New Roman"/>
          <w:b w:val="0"/>
          <w:i w:val="0"/>
        </w:rPr>
        <w:t xml:space="preserve"> </w:t>
      </w:r>
      <w:r>
        <w:rPr>
          <w:rFonts w:ascii="Times New Roman" w:hAnsi="Times New Roman"/>
          <w:b/>
          <w:i w:val="0"/>
        </w:rPr>
        <w:t>12</w:t>
      </w:r>
      <w:r>
        <w:rPr>
          <w:rFonts w:ascii="Times New Roman" w:hAnsi="Times New Roman"/>
          <w:b w:val="0"/>
          <w:i w:val="0"/>
        </w:rPr>
        <w:t>, 453–457 (2015). doi:10.1038/nmeth.3337</w:t>
      </w:r>
    </w:p>
    <w:p>
      <w:pPr>
        <w:spacing w:before="0" w:after="80"/>
      </w:pPr>
      <w:r>
        <w:rPr>
          <w:rFonts w:ascii="Times New Roman" w:hAnsi="Times New Roman"/>
          <w:b w:val="0"/>
          <w:i w:val="0"/>
        </w:rPr>
        <w:t xml:space="preserve">12. Newman, A. M. et al. Determining cell type abundance and expression from bulk tissues with digital cytometry. </w:t>
      </w:r>
      <w:r>
        <w:rPr>
          <w:rFonts w:ascii="Times New Roman" w:hAnsi="Times New Roman"/>
          <w:b w:val="0"/>
          <w:i/>
        </w:rPr>
        <w:t>Nat. Biotechnol.</w:t>
      </w:r>
      <w:r>
        <w:rPr>
          <w:rFonts w:ascii="Times New Roman" w:hAnsi="Times New Roman"/>
          <w:b w:val="0"/>
          <w:i w:val="0"/>
        </w:rPr>
        <w:t xml:space="preserve"> </w:t>
      </w:r>
      <w:r>
        <w:rPr>
          <w:rFonts w:ascii="Times New Roman" w:hAnsi="Times New Roman"/>
          <w:b/>
          <w:i w:val="0"/>
        </w:rPr>
        <w:t>37</w:t>
      </w:r>
      <w:r>
        <w:rPr>
          <w:rFonts w:ascii="Times New Roman" w:hAnsi="Times New Roman"/>
          <w:b w:val="0"/>
          <w:i w:val="0"/>
        </w:rPr>
        <w:t>, 773–782 (2019). doi:10.1038/s41587-019-0114-2</w:t>
      </w:r>
    </w:p>
    <w:p>
      <w:pPr>
        <w:spacing w:before="0" w:after="80"/>
      </w:pPr>
      <w:r>
        <w:rPr>
          <w:rFonts w:ascii="Times New Roman" w:hAnsi="Times New Roman"/>
          <w:b w:val="0"/>
          <w:i w:val="0"/>
        </w:rPr>
        <w:t xml:space="preserve">13. Aran, D., Hu, Z. &amp; Butte, A. J. xCell: digitally portraying the tissue cellular heterogeneity landscape. </w:t>
      </w:r>
      <w:r>
        <w:rPr>
          <w:rFonts w:ascii="Times New Roman" w:hAnsi="Times New Roman"/>
          <w:b w:val="0"/>
          <w:i/>
        </w:rPr>
        <w:t>Genome Biol.</w:t>
      </w:r>
      <w:r>
        <w:rPr>
          <w:rFonts w:ascii="Times New Roman" w:hAnsi="Times New Roman"/>
          <w:b w:val="0"/>
          <w:i w:val="0"/>
        </w:rPr>
        <w:t xml:space="preserve"> </w:t>
      </w:r>
      <w:r>
        <w:rPr>
          <w:rFonts w:ascii="Times New Roman" w:hAnsi="Times New Roman"/>
          <w:b/>
          <w:i w:val="0"/>
        </w:rPr>
        <w:t>18</w:t>
      </w:r>
      <w:r>
        <w:rPr>
          <w:rFonts w:ascii="Times New Roman" w:hAnsi="Times New Roman"/>
          <w:b w:val="0"/>
          <w:i w:val="0"/>
        </w:rPr>
        <w:t>, 220 (2017). doi:10.1186/s13059-017-1349-1</w:t>
      </w:r>
    </w:p>
    <w:p>
      <w:pPr>
        <w:spacing w:before="0" w:after="80"/>
      </w:pPr>
      <w:r>
        <w:rPr>
          <w:rFonts w:ascii="Times New Roman" w:hAnsi="Times New Roman"/>
          <w:b w:val="0"/>
          <w:i w:val="0"/>
        </w:rPr>
        <w:t xml:space="preserve">14. Athar, A. et al. ArrayExpress update – from bulk to single-cell expression data. </w:t>
      </w:r>
      <w:r>
        <w:rPr>
          <w:rFonts w:ascii="Times New Roman" w:hAnsi="Times New Roman"/>
          <w:b w:val="0"/>
          <w:i/>
        </w:rPr>
        <w:t>Nucleic Acids Res.</w:t>
      </w:r>
      <w:r>
        <w:rPr>
          <w:rFonts w:ascii="Times New Roman" w:hAnsi="Times New Roman"/>
          <w:b w:val="0"/>
          <w:i w:val="0"/>
        </w:rPr>
        <w:t xml:space="preserve"> </w:t>
      </w:r>
      <w:r>
        <w:rPr>
          <w:rFonts w:ascii="Times New Roman" w:hAnsi="Times New Roman"/>
          <w:b/>
          <w:i w:val="0"/>
        </w:rPr>
        <w:t>47</w:t>
      </w:r>
      <w:r>
        <w:rPr>
          <w:rFonts w:ascii="Times New Roman" w:hAnsi="Times New Roman"/>
          <w:b w:val="0"/>
          <w:i w:val="0"/>
        </w:rPr>
        <w:t>, D711–D715 (2018). doi:10.1093/nar/gky964</w:t>
      </w:r>
    </w:p>
    <w:p>
      <w:pPr>
        <w:spacing w:before="0" w:after="80"/>
      </w:pPr>
      <w:r>
        <w:rPr>
          <w:rFonts w:ascii="Times New Roman" w:hAnsi="Times New Roman"/>
          <w:b w:val="0"/>
          <w:i w:val="0"/>
        </w:rPr>
        <w:t xml:space="preserve">15. Davenport, E. E. et al. Genomic landscape of the individual host response and outcomes in sepsis: a prospective cohort study. </w:t>
      </w:r>
      <w:r>
        <w:rPr>
          <w:rFonts w:ascii="Times New Roman" w:hAnsi="Times New Roman"/>
          <w:b w:val="0"/>
          <w:i/>
        </w:rPr>
        <w:t>Lancet Respir. Med.</w:t>
      </w:r>
      <w:r>
        <w:rPr>
          <w:rFonts w:ascii="Times New Roman" w:hAnsi="Times New Roman"/>
          <w:b w:val="0"/>
          <w:i w:val="0"/>
        </w:rPr>
        <w:t xml:space="preserve"> </w:t>
      </w:r>
      <w:r>
        <w:rPr>
          <w:rFonts w:ascii="Times New Roman" w:hAnsi="Times New Roman"/>
          <w:b/>
          <w:i w:val="0"/>
        </w:rPr>
        <w:t>4</w:t>
      </w:r>
      <w:r>
        <w:rPr>
          <w:rFonts w:ascii="Times New Roman" w:hAnsi="Times New Roman"/>
          <w:b w:val="0"/>
          <w:i w:val="0"/>
        </w:rPr>
        <w:t>, 259–271 (2016). doi:10.1016/s2213-2600(16)00046-1</w:t>
      </w:r>
    </w:p>
    <w:p>
      <w:pPr>
        <w:spacing w:before="0" w:after="80"/>
      </w:pPr>
      <w:r>
        <w:rPr>
          <w:rFonts w:ascii="Times New Roman" w:hAnsi="Times New Roman"/>
          <w:b w:val="0"/>
          <w:i w:val="0"/>
        </w:rPr>
        <w:t xml:space="preserve">16. Hemani, G. et al. The MR-Base platform supports systematic causal inference across the human phenome. </w:t>
      </w:r>
      <w:r>
        <w:rPr>
          <w:rFonts w:ascii="Times New Roman" w:hAnsi="Times New Roman"/>
          <w:b w:val="0"/>
          <w:i/>
        </w:rPr>
        <w:t>eLife</w:t>
      </w:r>
      <w:r>
        <w:rPr>
          <w:rFonts w:ascii="Times New Roman" w:hAnsi="Times New Roman"/>
          <w:b w:val="0"/>
          <w:i w:val="0"/>
        </w:rPr>
        <w:t xml:space="preserve"> </w:t>
      </w:r>
      <w:r>
        <w:rPr>
          <w:rFonts w:ascii="Times New Roman" w:hAnsi="Times New Roman"/>
          <w:b/>
          <w:i w:val="0"/>
        </w:rPr>
        <w:t>7</w:t>
      </w:r>
      <w:r>
        <w:rPr>
          <w:rFonts w:ascii="Times New Roman" w:hAnsi="Times New Roman"/>
          <w:b w:val="0"/>
          <w:i w:val="0"/>
        </w:rPr>
        <w:t>, e34408 (2018). doi:10.7554/elife.34408</w:t>
      </w:r>
    </w:p>
    <w:p>
      <w:pPr>
        <w:spacing w:before="0" w:after="80"/>
      </w:pPr>
      <w:r>
        <w:rPr>
          <w:rFonts w:ascii="Times New Roman" w:hAnsi="Times New Roman"/>
          <w:b w:val="0"/>
          <w:i w:val="0"/>
        </w:rPr>
        <w:t xml:space="preserve">17. Burgess, S., Davies, N. M. &amp; Thompson, S. G. Bias due to participant overlap in two-sample Mendelian randomization. </w:t>
      </w:r>
      <w:r>
        <w:rPr>
          <w:rFonts w:ascii="Times New Roman" w:hAnsi="Times New Roman"/>
          <w:b w:val="0"/>
          <w:i/>
        </w:rPr>
        <w:t>Genet. Epidemiol.</w:t>
      </w:r>
      <w:r>
        <w:rPr>
          <w:rFonts w:ascii="Times New Roman" w:hAnsi="Times New Roman"/>
          <w:b w:val="0"/>
          <w:i w:val="0"/>
        </w:rPr>
        <w:t xml:space="preserve"> </w:t>
      </w:r>
      <w:r>
        <w:rPr>
          <w:rFonts w:ascii="Times New Roman" w:hAnsi="Times New Roman"/>
          <w:b/>
          <w:i w:val="0"/>
        </w:rPr>
        <w:t>40</w:t>
      </w:r>
      <w:r>
        <w:rPr>
          <w:rFonts w:ascii="Times New Roman" w:hAnsi="Times New Roman"/>
          <w:b w:val="0"/>
          <w:i w:val="0"/>
        </w:rPr>
        <w:t>, 597–608 (2016). doi:10.1002/gepi.21998</w:t>
      </w:r>
    </w:p>
    <w:p>
      <w:pPr>
        <w:spacing w:before="0" w:after="80"/>
      </w:pPr>
      <w:r>
        <w:rPr>
          <w:rFonts w:ascii="Times New Roman" w:hAnsi="Times New Roman"/>
          <w:b w:val="0"/>
          <w:i w:val="0"/>
        </w:rPr>
        <w:t xml:space="preserve">18. Bowden, J., Davey Smith, G. &amp; Burgess, S. Mendelian randomization with invalid instruments: effect estimation and bias detection through Egger regression. </w:t>
      </w:r>
      <w:r>
        <w:rPr>
          <w:rFonts w:ascii="Times New Roman" w:hAnsi="Times New Roman"/>
          <w:b w:val="0"/>
          <w:i/>
        </w:rPr>
        <w:t>Int. J. Epidemiol.</w:t>
      </w:r>
      <w:r>
        <w:rPr>
          <w:rFonts w:ascii="Times New Roman" w:hAnsi="Times New Roman"/>
          <w:b w:val="0"/>
          <w:i w:val="0"/>
        </w:rPr>
        <w:t xml:space="preserve"> </w:t>
      </w:r>
      <w:r>
        <w:rPr>
          <w:rFonts w:ascii="Times New Roman" w:hAnsi="Times New Roman"/>
          <w:b/>
          <w:i w:val="0"/>
        </w:rPr>
        <w:t>44</w:t>
      </w:r>
      <w:r>
        <w:rPr>
          <w:rFonts w:ascii="Times New Roman" w:hAnsi="Times New Roman"/>
          <w:b w:val="0"/>
          <w:i w:val="0"/>
        </w:rPr>
        <w:t>, 512–525 (2015). doi:10.1093/ije/dyw220</w:t>
      </w:r>
    </w:p>
    <w:p>
      <w:pPr>
        <w:spacing w:before="0" w:after="80"/>
      </w:pPr>
      <w:r>
        <w:rPr>
          <w:rFonts w:ascii="Times New Roman" w:hAnsi="Times New Roman"/>
          <w:b w:val="0"/>
          <w:i w:val="0"/>
        </w:rPr>
        <w:t xml:space="preserve">19. Bowden, J. et al. Assessing the suitability of summary data for two-sample Mendelian randomization analyses using MR-Egger regression: the role of the I² statistic. </w:t>
      </w:r>
      <w:r>
        <w:rPr>
          <w:rFonts w:ascii="Times New Roman" w:hAnsi="Times New Roman"/>
          <w:b w:val="0"/>
          <w:i/>
        </w:rPr>
        <w:t>Int. J. Epidemiol.</w:t>
      </w:r>
      <w:r>
        <w:rPr>
          <w:rFonts w:ascii="Times New Roman" w:hAnsi="Times New Roman"/>
          <w:b w:val="0"/>
          <w:i w:val="0"/>
        </w:rPr>
        <w:t xml:space="preserve"> </w:t>
      </w:r>
      <w:r>
        <w:rPr>
          <w:rFonts w:ascii="Times New Roman" w:hAnsi="Times New Roman"/>
          <w:b/>
          <w:i w:val="0"/>
        </w:rPr>
        <w:t>45</w:t>
      </w:r>
      <w:r>
        <w:rPr>
          <w:rFonts w:ascii="Times New Roman" w:hAnsi="Times New Roman"/>
          <w:b w:val="0"/>
          <w:i w:val="0"/>
        </w:rPr>
        <w:t>, 1964–1974 (2016). doi:10.1093/ije/dyv080</w:t>
      </w:r>
    </w:p>
    <w:p>
      <w:pPr>
        <w:spacing w:before="0" w:after="80"/>
      </w:pPr>
      <w:r>
        <w:rPr>
          <w:rFonts w:ascii="Times New Roman" w:hAnsi="Times New Roman"/>
          <w:b w:val="0"/>
          <w:i w:val="0"/>
        </w:rPr>
        <w:t xml:space="preserve">20. Wang, C., Liu, J., Wu, Q. et al. The role of TIM-3 in sepsis: a promising target for immunotherapy? </w:t>
      </w:r>
      <w:r>
        <w:rPr>
          <w:rFonts w:ascii="Times New Roman" w:hAnsi="Times New Roman"/>
          <w:b w:val="0"/>
          <w:i/>
        </w:rPr>
        <w:t>Front. Immunol.</w:t>
      </w:r>
      <w:r>
        <w:rPr>
          <w:rFonts w:ascii="Times New Roman" w:hAnsi="Times New Roman"/>
          <w:b w:val="0"/>
          <w:i w:val="0"/>
        </w:rPr>
        <w:t xml:space="preserve"> </w:t>
      </w:r>
      <w:r>
        <w:rPr>
          <w:rFonts w:ascii="Times New Roman" w:hAnsi="Times New Roman"/>
          <w:b/>
          <w:i w:val="0"/>
        </w:rPr>
        <w:t>15</w:t>
      </w:r>
      <w:r>
        <w:rPr>
          <w:rFonts w:ascii="Times New Roman" w:hAnsi="Times New Roman"/>
          <w:b w:val="0"/>
          <w:i w:val="0"/>
        </w:rPr>
        <w:t>, 1328667 (2024). doi:10.3389/fimmu.2024.1328667</w:t>
      </w:r>
    </w:p>
    <w:p>
      <w:pPr>
        <w:spacing w:before="0" w:after="80"/>
      </w:pPr>
      <w:r>
        <w:rPr>
          <w:rFonts w:ascii="Times New Roman" w:hAnsi="Times New Roman"/>
          <w:b w:val="0"/>
          <w:i w:val="0"/>
        </w:rPr>
        <w:t xml:space="preserve">21. Schuemie, M. J., Ryan, P. B., DuMouchel, W., Suchard, M. A. &amp; Madigan, D. Interpreting observational studies: why empirical calibration is needed to correct p-values. </w:t>
      </w:r>
      <w:r>
        <w:rPr>
          <w:rFonts w:ascii="Times New Roman" w:hAnsi="Times New Roman"/>
          <w:b w:val="0"/>
          <w:i/>
        </w:rPr>
        <w:t>Stat. Med.</w:t>
      </w:r>
      <w:r>
        <w:rPr>
          <w:rFonts w:ascii="Times New Roman" w:hAnsi="Times New Roman"/>
          <w:b w:val="0"/>
          <w:i w:val="0"/>
        </w:rPr>
        <w:t xml:space="preserve"> </w:t>
      </w:r>
      <w:r>
        <w:rPr>
          <w:rFonts w:ascii="Times New Roman" w:hAnsi="Times New Roman"/>
          <w:b/>
          <w:i w:val="0"/>
        </w:rPr>
        <w:t>33</w:t>
      </w:r>
      <w:r>
        <w:rPr>
          <w:rFonts w:ascii="Times New Roman" w:hAnsi="Times New Roman"/>
          <w:b w:val="0"/>
          <w:i w:val="0"/>
        </w:rPr>
        <w:t>, 209–218 (2013). doi:10.1002/sim.5925</w:t>
      </w:r>
    </w:p>
    <w:p>
      <w:pPr>
        <w:spacing w:before="0" w:after="80"/>
      </w:pPr>
      <w:r>
        <w:rPr>
          <w:rFonts w:ascii="Times New Roman" w:hAnsi="Times New Roman"/>
          <w:b w:val="0"/>
          <w:i w:val="0"/>
        </w:rPr>
        <w:t xml:space="preserve">22. Basham, T. Y. &amp; Merigan, T. C. Recombinant interferon-gamma increases HLA-DR synthesis and expression. </w:t>
      </w:r>
      <w:r>
        <w:rPr>
          <w:rFonts w:ascii="Times New Roman" w:hAnsi="Times New Roman"/>
          <w:b w:val="0"/>
          <w:i/>
        </w:rPr>
        <w:t>J. Immunol.</w:t>
      </w:r>
      <w:r>
        <w:rPr>
          <w:rFonts w:ascii="Times New Roman" w:hAnsi="Times New Roman"/>
          <w:b w:val="0"/>
          <w:i w:val="0"/>
        </w:rPr>
        <w:t xml:space="preserve"> </w:t>
      </w:r>
      <w:r>
        <w:rPr>
          <w:rFonts w:ascii="Times New Roman" w:hAnsi="Times New Roman"/>
          <w:b/>
          <w:i w:val="0"/>
        </w:rPr>
        <w:t>130</w:t>
      </w:r>
      <w:r>
        <w:rPr>
          <w:rFonts w:ascii="Times New Roman" w:hAnsi="Times New Roman"/>
          <w:b w:val="0"/>
          <w:i w:val="0"/>
        </w:rPr>
        <w:t>, 1492–1494 (1983). doi:10.4049/jimmunol.130.4.1492</w:t>
      </w:r>
    </w:p>
    <w:p>
      <w:pPr>
        <w:spacing w:before="0" w:after="80"/>
      </w:pPr>
      <w:r>
        <w:rPr>
          <w:rFonts w:ascii="Times New Roman" w:hAnsi="Times New Roman"/>
          <w:b w:val="0"/>
          <w:i w:val="0"/>
        </w:rPr>
        <w:t xml:space="preserve">23. François, B. et al. Interleukin-7 restores lymphocytes in septic shock: the IRIS-7 randomized clinical trial. </w:t>
      </w:r>
      <w:r>
        <w:rPr>
          <w:rFonts w:ascii="Times New Roman" w:hAnsi="Times New Roman"/>
          <w:b w:val="0"/>
          <w:i/>
        </w:rPr>
        <w:t>JCI Insight</w:t>
      </w:r>
      <w:r>
        <w:rPr>
          <w:rFonts w:ascii="Times New Roman" w:hAnsi="Times New Roman"/>
          <w:b w:val="0"/>
          <w:i w:val="0"/>
        </w:rPr>
        <w:t xml:space="preserve"> </w:t>
      </w:r>
      <w:r>
        <w:rPr>
          <w:rFonts w:ascii="Times New Roman" w:hAnsi="Times New Roman"/>
          <w:b/>
          <w:i w:val="0"/>
        </w:rPr>
        <w:t>3</w:t>
      </w:r>
      <w:r>
        <w:rPr>
          <w:rFonts w:ascii="Times New Roman" w:hAnsi="Times New Roman"/>
          <w:b w:val="0"/>
          <w:i w:val="0"/>
        </w:rPr>
        <w:t>, e98960 (2018). doi:10.1172/jci.insight.98960</w:t>
      </w:r>
    </w:p>
    <w:p>
      <w:pPr>
        <w:spacing w:before="0" w:after="80"/>
      </w:pPr>
      <w:r>
        <w:rPr>
          <w:rFonts w:ascii="Times New Roman" w:hAnsi="Times New Roman"/>
          <w:b w:val="0"/>
          <w:i w:val="0"/>
        </w:rPr>
        <w:t xml:space="preserve">24. Meisel, C. et al. Granulocyte–macrophage colony-stimulating factor to reverse sepsis-associated immunosuppression: a double-blind, randomized, placebo-controlled multicenter trial. </w:t>
      </w:r>
      <w:r>
        <w:rPr>
          <w:rFonts w:ascii="Times New Roman" w:hAnsi="Times New Roman"/>
          <w:b w:val="0"/>
          <w:i/>
        </w:rPr>
        <w:t>Am. J. Respir. Crit. Care Med.</w:t>
      </w:r>
      <w:r>
        <w:rPr>
          <w:rFonts w:ascii="Times New Roman" w:hAnsi="Times New Roman"/>
          <w:b w:val="0"/>
          <w:i w:val="0"/>
        </w:rPr>
        <w:t xml:space="preserve"> </w:t>
      </w:r>
      <w:r>
        <w:rPr>
          <w:rFonts w:ascii="Times New Roman" w:hAnsi="Times New Roman"/>
          <w:b/>
          <w:i w:val="0"/>
        </w:rPr>
        <w:t>180</w:t>
      </w:r>
      <w:r>
        <w:rPr>
          <w:rFonts w:ascii="Times New Roman" w:hAnsi="Times New Roman"/>
          <w:b w:val="0"/>
          <w:i w:val="0"/>
        </w:rPr>
        <w:t>, 640–648 (2009). doi:10.1164/rccm.200903-0363OC</w:t>
      </w:r>
    </w:p>
    <w:p>
      <w:pPr>
        <w:spacing w:before="0" w:after="80"/>
      </w:pPr>
      <w:r>
        <w:rPr>
          <w:rFonts w:ascii="Times New Roman" w:hAnsi="Times New Roman"/>
          <w:b w:val="0"/>
          <w:i w:val="0"/>
        </w:rPr>
        <w:t xml:space="preserve">25. Döcke, W. et al. Monocyte deactivation in septic patients: restoration by IFN-γ treatment. </w:t>
      </w:r>
      <w:r>
        <w:rPr>
          <w:rFonts w:ascii="Times New Roman" w:hAnsi="Times New Roman"/>
          <w:b w:val="0"/>
          <w:i/>
        </w:rPr>
        <w:t>Nat. Med.</w:t>
      </w:r>
      <w:r>
        <w:rPr>
          <w:rFonts w:ascii="Times New Roman" w:hAnsi="Times New Roman"/>
          <w:b w:val="0"/>
          <w:i w:val="0"/>
        </w:rPr>
        <w:t xml:space="preserve"> </w:t>
      </w:r>
      <w:r>
        <w:rPr>
          <w:rFonts w:ascii="Times New Roman" w:hAnsi="Times New Roman"/>
          <w:b/>
          <w:i w:val="0"/>
        </w:rPr>
        <w:t>3</w:t>
      </w:r>
      <w:r>
        <w:rPr>
          <w:rFonts w:ascii="Times New Roman" w:hAnsi="Times New Roman"/>
          <w:b w:val="0"/>
          <w:i w:val="0"/>
        </w:rPr>
        <w:t>, 678–681 (1997). doi:10.1038/nm0697-678</w:t>
      </w:r>
    </w:p>
    <w:p>
      <w:pPr>
        <w:spacing w:before="0" w:after="80"/>
      </w:pPr>
      <w:r>
        <w:rPr>
          <w:rFonts w:ascii="Times New Roman" w:hAnsi="Times New Roman"/>
          <w:b w:val="0"/>
          <w:i w:val="0"/>
        </w:rPr>
        <w:t xml:space="preserve">26. Parnham, M. J. et al. Azithromycin: mechanisms of action and their relevance for clinical applications. </w:t>
      </w:r>
      <w:r>
        <w:rPr>
          <w:rFonts w:ascii="Times New Roman" w:hAnsi="Times New Roman"/>
          <w:b w:val="0"/>
          <w:i/>
        </w:rPr>
        <w:t>Pharmacol. Ther.</w:t>
      </w:r>
      <w:r>
        <w:rPr>
          <w:rFonts w:ascii="Times New Roman" w:hAnsi="Times New Roman"/>
          <w:b w:val="0"/>
          <w:i w:val="0"/>
        </w:rPr>
        <w:t xml:space="preserve"> </w:t>
      </w:r>
      <w:r>
        <w:rPr>
          <w:rFonts w:ascii="Times New Roman" w:hAnsi="Times New Roman"/>
          <w:b/>
          <w:i w:val="0"/>
        </w:rPr>
        <w:t>143</w:t>
      </w:r>
      <w:r>
        <w:rPr>
          <w:rFonts w:ascii="Times New Roman" w:hAnsi="Times New Roman"/>
          <w:b w:val="0"/>
          <w:i w:val="0"/>
        </w:rPr>
        <w:t>, 225–245 (2014). doi:10.1016/j.pharmthera.2014.03.003</w:t>
      </w:r>
    </w:p>
    <w:p>
      <w:pPr>
        <w:spacing w:before="0" w:after="80"/>
      </w:pPr>
      <w:r>
        <w:rPr>
          <w:rFonts w:ascii="Times New Roman" w:hAnsi="Times New Roman"/>
          <w:b w:val="0"/>
          <w:i w:val="0"/>
        </w:rPr>
        <w:t xml:space="preserve">27. McDaniel, J. M. et al. Reversal of T-cell tolerance in myelodysplastic syndrome through lenalidomide immune modulation. </w:t>
      </w:r>
      <w:r>
        <w:rPr>
          <w:rFonts w:ascii="Times New Roman" w:hAnsi="Times New Roman"/>
          <w:b w:val="0"/>
          <w:i/>
        </w:rPr>
        <w:t>Leukemia</w:t>
      </w:r>
      <w:r>
        <w:rPr>
          <w:rFonts w:ascii="Times New Roman" w:hAnsi="Times New Roman"/>
          <w:b w:val="0"/>
          <w:i w:val="0"/>
        </w:rPr>
        <w:t xml:space="preserve"> </w:t>
      </w:r>
      <w:r>
        <w:rPr>
          <w:rFonts w:ascii="Times New Roman" w:hAnsi="Times New Roman"/>
          <w:b/>
          <w:i w:val="0"/>
        </w:rPr>
        <w:t>26</w:t>
      </w:r>
      <w:r>
        <w:rPr>
          <w:rFonts w:ascii="Times New Roman" w:hAnsi="Times New Roman"/>
          <w:b w:val="0"/>
          <w:i w:val="0"/>
        </w:rPr>
        <w:t>, 1425–1429 (2011). doi:10.1038/leu.2011.359</w:t>
      </w:r>
    </w:p>
    <w:p>
      <w:pPr>
        <w:spacing w:before="0" w:after="80"/>
      </w:pPr>
      <w:r>
        <w:rPr>
          <w:rFonts w:ascii="Times New Roman" w:hAnsi="Times New Roman"/>
          <w:b w:val="0"/>
          <w:i w:val="0"/>
        </w:rPr>
        <w:t xml:space="preserve">28. Li, C., Bo, L., Liu, Q. &amp; Jin, F. Thymosin alpha1 based immunomodulatory therapy for sepsis: a systematic review and meta-analysis. </w:t>
      </w:r>
      <w:r>
        <w:rPr>
          <w:rFonts w:ascii="Times New Roman" w:hAnsi="Times New Roman"/>
          <w:b w:val="0"/>
          <w:i/>
        </w:rPr>
        <w:t>Int. J. Infect. Dis.</w:t>
      </w:r>
      <w:r>
        <w:rPr>
          <w:rFonts w:ascii="Times New Roman" w:hAnsi="Times New Roman"/>
          <w:b w:val="0"/>
          <w:i w:val="0"/>
        </w:rPr>
        <w:t xml:space="preserve"> </w:t>
      </w:r>
      <w:r>
        <w:rPr>
          <w:rFonts w:ascii="Times New Roman" w:hAnsi="Times New Roman"/>
          <w:b/>
          <w:i w:val="0"/>
        </w:rPr>
        <w:t>33</w:t>
      </w:r>
      <w:r>
        <w:rPr>
          <w:rFonts w:ascii="Times New Roman" w:hAnsi="Times New Roman"/>
          <w:b w:val="0"/>
          <w:i w:val="0"/>
        </w:rPr>
        <w:t>, 90–96 (2015). doi:10.1016/j.ijid.2014.12.032</w:t>
      </w:r>
    </w:p>
    <w:p>
      <w:pPr>
        <w:spacing w:before="0" w:after="80"/>
      </w:pPr>
      <w:r>
        <w:rPr>
          <w:rFonts w:ascii="Times New Roman" w:hAnsi="Times New Roman"/>
          <w:b w:val="0"/>
          <w:i w:val="0"/>
        </w:rPr>
        <w:t xml:space="preserve">29. Bo, L., Wang, F., Zhu, J., Li, J. &amp; Deng, X. Granulocyte-colony stimulating factor (G-CSF) and granulocyte-macrophage colony stimulating factor (GM-CSF) for sepsis: a meta-analysis. </w:t>
      </w:r>
      <w:r>
        <w:rPr>
          <w:rFonts w:ascii="Times New Roman" w:hAnsi="Times New Roman"/>
          <w:b w:val="0"/>
          <w:i/>
        </w:rPr>
        <w:t>Crit. Care</w:t>
      </w:r>
      <w:r>
        <w:rPr>
          <w:rFonts w:ascii="Times New Roman" w:hAnsi="Times New Roman"/>
          <w:b w:val="0"/>
          <w:i w:val="0"/>
        </w:rPr>
        <w:t xml:space="preserve"> </w:t>
      </w:r>
      <w:r>
        <w:rPr>
          <w:rFonts w:ascii="Times New Roman" w:hAnsi="Times New Roman"/>
          <w:b/>
          <w:i w:val="0"/>
        </w:rPr>
        <w:t>15</w:t>
      </w:r>
      <w:r>
        <w:rPr>
          <w:rFonts w:ascii="Times New Roman" w:hAnsi="Times New Roman"/>
          <w:b w:val="0"/>
          <w:i w:val="0"/>
        </w:rPr>
        <w:t>, R58 (2011). doi:10.1186/cc10031</w:t>
      </w:r>
    </w:p>
    <w:p>
      <w:pPr>
        <w:spacing w:before="0" w:after="80"/>
      </w:pPr>
      <w:r>
        <w:rPr>
          <w:rFonts w:ascii="Times New Roman" w:hAnsi="Times New Roman"/>
          <w:b w:val="0"/>
          <w:i w:val="0"/>
        </w:rPr>
        <w:t xml:space="preserve">30. Giamarellos-Bourboulis, E. J. et al. Precision immunotherapy to improve sepsis outcomes: the ImmunoSep randomized clinical trial. </w:t>
      </w:r>
      <w:r>
        <w:rPr>
          <w:rFonts w:ascii="Times New Roman" w:hAnsi="Times New Roman"/>
          <w:b w:val="0"/>
          <w:i/>
        </w:rPr>
        <w:t>JAMA</w:t>
      </w:r>
      <w:r>
        <w:rPr>
          <w:rFonts w:ascii="Times New Roman" w:hAnsi="Times New Roman"/>
          <w:b w:val="0"/>
          <w:i w:val="0"/>
        </w:rPr>
        <w:t xml:space="preserve"> </w:t>
      </w:r>
      <w:r>
        <w:rPr>
          <w:rFonts w:ascii="Times New Roman" w:hAnsi="Times New Roman"/>
          <w:b/>
          <w:i w:val="0"/>
        </w:rPr>
        <w:t>335</w:t>
      </w:r>
      <w:r>
        <w:rPr>
          <w:rFonts w:ascii="Times New Roman" w:hAnsi="Times New Roman"/>
          <w:b w:val="0"/>
          <w:i w:val="0"/>
        </w:rPr>
        <w:t>, 775–786 (2025). doi:10.1001/jama.2025.24175</w:t>
      </w:r>
    </w:p>
    <w:p>
      <w:pPr>
        <w:spacing w:before="0" w:after="80"/>
      </w:pPr>
      <w:r>
        <w:rPr>
          <w:rFonts w:ascii="Times New Roman" w:hAnsi="Times New Roman"/>
          <w:b w:val="0"/>
          <w:i w:val="0"/>
        </w:rPr>
        <w:t xml:space="preserve">31. Monneret, G., Venet, F., Pachot, A. &amp; Lepape, A. Monitoring immune dysfunctions in the septic patient: a new skin for the old ceremony. </w:t>
      </w:r>
      <w:r>
        <w:rPr>
          <w:rFonts w:ascii="Times New Roman" w:hAnsi="Times New Roman"/>
          <w:b w:val="0"/>
          <w:i/>
        </w:rPr>
        <w:t>Mol. Med.</w:t>
      </w:r>
      <w:r>
        <w:rPr>
          <w:rFonts w:ascii="Times New Roman" w:hAnsi="Times New Roman"/>
          <w:b w:val="0"/>
          <w:i w:val="0"/>
        </w:rPr>
        <w:t xml:space="preserve"> </w:t>
      </w:r>
      <w:r>
        <w:rPr>
          <w:rFonts w:ascii="Times New Roman" w:hAnsi="Times New Roman"/>
          <w:b/>
          <w:i w:val="0"/>
        </w:rPr>
        <w:t>14</w:t>
      </w:r>
      <w:r>
        <w:rPr>
          <w:rFonts w:ascii="Times New Roman" w:hAnsi="Times New Roman"/>
          <w:b w:val="0"/>
          <w:i w:val="0"/>
        </w:rPr>
        <w:t>, 64–78 (2008). doi:10.2119/2007-00102.Monneret</w:t>
      </w:r>
    </w:p>
    <w:p>
      <w:pPr>
        <w:spacing w:before="0" w:after="80"/>
      </w:pPr>
      <w:r>
        <w:rPr>
          <w:rFonts w:ascii="Times New Roman" w:hAnsi="Times New Roman"/>
          <w:b w:val="0"/>
          <w:i w:val="0"/>
        </w:rPr>
        <w:t xml:space="preserve">32. Joshi, I., Carney, W. P. &amp; Rock, E. P. Utility of monocyte HLA-DR and rationale for therapeutic GM-CSF in sepsis immunoparalysis. </w:t>
      </w:r>
      <w:r>
        <w:rPr>
          <w:rFonts w:ascii="Times New Roman" w:hAnsi="Times New Roman"/>
          <w:b w:val="0"/>
          <w:i/>
        </w:rPr>
        <w:t>Front. Immunol.</w:t>
      </w:r>
      <w:r>
        <w:rPr>
          <w:rFonts w:ascii="Times New Roman" w:hAnsi="Times New Roman"/>
          <w:b w:val="0"/>
          <w:i w:val="0"/>
        </w:rPr>
        <w:t xml:space="preserve"> </w:t>
      </w:r>
      <w:r>
        <w:rPr>
          <w:rFonts w:ascii="Times New Roman" w:hAnsi="Times New Roman"/>
          <w:b/>
          <w:i w:val="0"/>
        </w:rPr>
        <w:t>14</w:t>
      </w:r>
      <w:r>
        <w:rPr>
          <w:rFonts w:ascii="Times New Roman" w:hAnsi="Times New Roman"/>
          <w:b w:val="0"/>
          <w:i w:val="0"/>
        </w:rPr>
        <w:t>, 1130214 (2023). doi:10.3389/fimmu.2023.1130214</w:t>
      </w:r>
    </w:p>
    <w:p>
      <w:pPr>
        <w:spacing w:before="0" w:after="80"/>
      </w:pPr>
      <w:r>
        <w:rPr>
          <w:rFonts w:ascii="Times New Roman" w:hAnsi="Times New Roman"/>
          <w:b w:val="0"/>
          <w:i w:val="0"/>
        </w:rPr>
        <w:t xml:space="preserve">33. Venet, F. &amp; Monneret, G. Advances in the understanding and treatment of sepsis-induced immunosuppression. </w:t>
      </w:r>
      <w:r>
        <w:rPr>
          <w:rFonts w:ascii="Times New Roman" w:hAnsi="Times New Roman"/>
          <w:b w:val="0"/>
          <w:i/>
        </w:rPr>
        <w:t>Nat. Rev. Nephrol.</w:t>
      </w:r>
      <w:r>
        <w:rPr>
          <w:rFonts w:ascii="Times New Roman" w:hAnsi="Times New Roman"/>
          <w:b w:val="0"/>
          <w:i w:val="0"/>
        </w:rPr>
        <w:t xml:space="preserve"> </w:t>
      </w:r>
      <w:r>
        <w:rPr>
          <w:rFonts w:ascii="Times New Roman" w:hAnsi="Times New Roman"/>
          <w:b/>
          <w:i w:val="0"/>
        </w:rPr>
        <w:t>14</w:t>
      </w:r>
      <w:r>
        <w:rPr>
          <w:rFonts w:ascii="Times New Roman" w:hAnsi="Times New Roman"/>
          <w:b w:val="0"/>
          <w:i w:val="0"/>
        </w:rPr>
        <w:t>, 121–137 (2018). doi:10.1038/nrneph.2017.165</w:t>
      </w:r>
    </w:p>
    <w:p>
      <w:pPr>
        <w:spacing w:before="0" w:after="80"/>
      </w:pPr>
      <w:r>
        <w:rPr>
          <w:rFonts w:ascii="Times New Roman" w:hAnsi="Times New Roman"/>
          <w:b w:val="0"/>
          <w:i w:val="0"/>
        </w:rPr>
        <w:t xml:space="preserve">34. Hotchkiss, R. S. et al. Immune checkpoint inhibition in sepsis: a Phase 1b randomized, placebo-controlled, single ascending dose study of anti-programmed cell death-ligand 1 antibody (BMS-936559). </w:t>
      </w:r>
      <w:r>
        <w:rPr>
          <w:rFonts w:ascii="Times New Roman" w:hAnsi="Times New Roman"/>
          <w:b w:val="0"/>
          <w:i/>
        </w:rPr>
        <w:t>Crit. Care Med.</w:t>
      </w:r>
      <w:r>
        <w:rPr>
          <w:rFonts w:ascii="Times New Roman" w:hAnsi="Times New Roman"/>
          <w:b w:val="0"/>
          <w:i w:val="0"/>
        </w:rPr>
        <w:t xml:space="preserve"> </w:t>
      </w:r>
      <w:r>
        <w:rPr>
          <w:rFonts w:ascii="Times New Roman" w:hAnsi="Times New Roman"/>
          <w:b/>
          <w:i w:val="0"/>
        </w:rPr>
        <w:t>47</w:t>
      </w:r>
      <w:r>
        <w:rPr>
          <w:rFonts w:ascii="Times New Roman" w:hAnsi="Times New Roman"/>
          <w:b w:val="0"/>
          <w:i w:val="0"/>
        </w:rPr>
        <w:t>, 632–642 (2019). doi:10.1097/CCM.0000000000003685</w:t>
      </w:r>
    </w:p>
    <w:p>
      <w:pPr>
        <w:spacing w:before="0" w:after="80"/>
      </w:pPr>
      <w:r>
        <w:rPr>
          <w:rFonts w:ascii="Times New Roman" w:hAnsi="Times New Roman"/>
          <w:b w:val="0"/>
          <w:i w:val="0"/>
        </w:rPr>
        <w:t xml:space="preserve">35. Hotchkiss, R. S. et al. Immune checkpoint inhibition in sepsis: a Phase 1b randomized study to evaluate the safety, tolerability, pharmacokinetics, and pharmacodynamics of nivolumab. </w:t>
      </w:r>
      <w:r>
        <w:rPr>
          <w:rFonts w:ascii="Times New Roman" w:hAnsi="Times New Roman"/>
          <w:b w:val="0"/>
          <w:i/>
        </w:rPr>
        <w:t>Intensive Care Med.</w:t>
      </w:r>
      <w:r>
        <w:rPr>
          <w:rFonts w:ascii="Times New Roman" w:hAnsi="Times New Roman"/>
          <w:b w:val="0"/>
          <w:i w:val="0"/>
        </w:rPr>
        <w:t xml:space="preserve"> </w:t>
      </w:r>
      <w:r>
        <w:rPr>
          <w:rFonts w:ascii="Times New Roman" w:hAnsi="Times New Roman"/>
          <w:b/>
          <w:i w:val="0"/>
        </w:rPr>
        <w:t>45</w:t>
      </w:r>
      <w:r>
        <w:rPr>
          <w:rFonts w:ascii="Times New Roman" w:hAnsi="Times New Roman"/>
          <w:b w:val="0"/>
          <w:i w:val="0"/>
        </w:rPr>
        <w:t>, 1360–1371 (2019). doi:10.1007/s00134-019-05704-z</w:t>
      </w:r>
    </w:p>
    <w:p>
      <w:pPr>
        <w:spacing w:before="0" w:after="80"/>
      </w:pPr>
      <w:r>
        <w:rPr>
          <w:rFonts w:ascii="Times New Roman" w:hAnsi="Times New Roman"/>
          <w:b w:val="0"/>
          <w:i w:val="0"/>
        </w:rPr>
        <w:t xml:space="preserve">36. Giamarellos-Bourboulis, E. J. et al. Activate: randomized clinical trial of BCG vaccination against infection in the elderly. </w:t>
      </w:r>
      <w:r>
        <w:rPr>
          <w:rFonts w:ascii="Times New Roman" w:hAnsi="Times New Roman"/>
          <w:b w:val="0"/>
          <w:i/>
        </w:rPr>
        <w:t>Cell</w:t>
      </w:r>
      <w:r>
        <w:rPr>
          <w:rFonts w:ascii="Times New Roman" w:hAnsi="Times New Roman"/>
          <w:b w:val="0"/>
          <w:i w:val="0"/>
        </w:rPr>
        <w:t xml:space="preserve"> </w:t>
      </w:r>
      <w:r>
        <w:rPr>
          <w:rFonts w:ascii="Times New Roman" w:hAnsi="Times New Roman"/>
          <w:b/>
          <w:i w:val="0"/>
        </w:rPr>
        <w:t>183</w:t>
      </w:r>
      <w:r>
        <w:rPr>
          <w:rFonts w:ascii="Times New Roman" w:hAnsi="Times New Roman"/>
          <w:b w:val="0"/>
          <w:i w:val="0"/>
        </w:rPr>
        <w:t>, 315–323 (2020). doi:10.1016/j.cell.2020.08.051</w:t>
      </w:r>
    </w:p>
    <w:p>
      <w:pPr>
        <w:spacing w:before="0" w:after="80"/>
      </w:pPr>
      <w:r>
        <w:rPr>
          <w:rFonts w:ascii="Times New Roman" w:hAnsi="Times New Roman"/>
          <w:b w:val="0"/>
          <w:i w:val="0"/>
        </w:rPr>
        <w:t xml:space="preserve">37. Moorlag, S. J. C. F. M. et al. Efficacy of BCG vaccination against respiratory tract infections in older adults: a randomized controlled trial. </w:t>
      </w:r>
      <w:r>
        <w:rPr>
          <w:rFonts w:ascii="Times New Roman" w:hAnsi="Times New Roman"/>
          <w:b w:val="0"/>
          <w:i/>
        </w:rPr>
        <w:t>J. Infect. Dis.</w:t>
      </w:r>
      <w:r>
        <w:rPr>
          <w:rFonts w:ascii="Times New Roman" w:hAnsi="Times New Roman"/>
          <w:b w:val="0"/>
          <w:i w:val="0"/>
        </w:rPr>
        <w:t xml:space="preserve"> </w:t>
      </w:r>
      <w:r>
        <w:rPr>
          <w:rFonts w:ascii="Times New Roman" w:hAnsi="Times New Roman"/>
          <w:b/>
          <w:i w:val="0"/>
        </w:rPr>
        <w:t>226</w:t>
      </w:r>
      <w:r>
        <w:rPr>
          <w:rFonts w:ascii="Times New Roman" w:hAnsi="Times New Roman"/>
          <w:b w:val="0"/>
          <w:i w:val="0"/>
        </w:rPr>
        <w:t>, 129–138 (2022). doi:10.1093/infdis/jiac182</w:t>
      </w:r>
    </w:p>
    <w:p>
      <w:pPr>
        <w:spacing w:before="0" w:after="80"/>
      </w:pPr>
      <w:r>
        <w:rPr>
          <w:rFonts w:ascii="Times New Roman" w:hAnsi="Times New Roman"/>
          <w:b w:val="0"/>
          <w:i w:val="0"/>
        </w:rPr>
        <w:t xml:space="preserve">38. Netea, M. G. et al. Trained immunity: a program of innate immune memory in health and disease. </w:t>
      </w:r>
      <w:r>
        <w:rPr>
          <w:rFonts w:ascii="Times New Roman" w:hAnsi="Times New Roman"/>
          <w:b w:val="0"/>
          <w:i/>
        </w:rPr>
        <w:t>Science</w:t>
      </w:r>
      <w:r>
        <w:rPr>
          <w:rFonts w:ascii="Times New Roman" w:hAnsi="Times New Roman"/>
          <w:b w:val="0"/>
          <w:i w:val="0"/>
        </w:rPr>
        <w:t xml:space="preserve"> </w:t>
      </w:r>
      <w:r>
        <w:rPr>
          <w:rFonts w:ascii="Times New Roman" w:hAnsi="Times New Roman"/>
          <w:b/>
          <w:i w:val="0"/>
        </w:rPr>
        <w:t>352</w:t>
      </w:r>
      <w:r>
        <w:rPr>
          <w:rFonts w:ascii="Times New Roman" w:hAnsi="Times New Roman"/>
          <w:b w:val="0"/>
          <w:i w:val="0"/>
        </w:rPr>
        <w:t>, aaf1098 (2016). doi:10.1126/science.aaf1098</w:t>
      </w:r>
    </w:p>
    <w:p>
      <w:pPr>
        <w:spacing w:before="0" w:after="80"/>
      </w:pPr>
      <w:r>
        <w:rPr>
          <w:rFonts w:ascii="Times New Roman" w:hAnsi="Times New Roman"/>
          <w:b w:val="0"/>
          <w:i w:val="0"/>
        </w:rPr>
        <w:t xml:space="preserve">39. Netea, M. G., Quintin, J. &amp; van der Meer, J. W. M. Trained immunity: a memory for innate host defense. </w:t>
      </w:r>
      <w:r>
        <w:rPr>
          <w:rFonts w:ascii="Times New Roman" w:hAnsi="Times New Roman"/>
          <w:b w:val="0"/>
          <w:i/>
        </w:rPr>
        <w:t>Cell Host Microbe</w:t>
      </w:r>
      <w:r>
        <w:rPr>
          <w:rFonts w:ascii="Times New Roman" w:hAnsi="Times New Roman"/>
          <w:b w:val="0"/>
          <w:i w:val="0"/>
        </w:rPr>
        <w:t xml:space="preserve"> </w:t>
      </w:r>
      <w:r>
        <w:rPr>
          <w:rFonts w:ascii="Times New Roman" w:hAnsi="Times New Roman"/>
          <w:b/>
          <w:i w:val="0"/>
        </w:rPr>
        <w:t>9</w:t>
      </w:r>
      <w:r>
        <w:rPr>
          <w:rFonts w:ascii="Times New Roman" w:hAnsi="Times New Roman"/>
          <w:b w:val="0"/>
          <w:i w:val="0"/>
        </w:rPr>
        <w:t>, 355–361 (2011). doi:10.1016/j.chom.2011.04.006</w:t>
      </w:r>
    </w:p>
    <w:p>
      <w:pPr>
        <w:spacing w:before="0" w:after="80"/>
      </w:pPr>
      <w:r>
        <w:rPr>
          <w:rFonts w:ascii="Times New Roman" w:hAnsi="Times New Roman"/>
          <w:b w:val="0"/>
          <w:i w:val="0"/>
        </w:rPr>
        <w:t xml:space="preserve">40. Subramanian, A. et al. A next generation connectivity map: L1000 platform and the first 1,000,000 profiles. </w:t>
      </w:r>
      <w:r>
        <w:rPr>
          <w:rFonts w:ascii="Times New Roman" w:hAnsi="Times New Roman"/>
          <w:b w:val="0"/>
          <w:i/>
        </w:rPr>
        <w:t>Cell</w:t>
      </w:r>
      <w:r>
        <w:rPr>
          <w:rFonts w:ascii="Times New Roman" w:hAnsi="Times New Roman"/>
          <w:b w:val="0"/>
          <w:i w:val="0"/>
        </w:rPr>
        <w:t xml:space="preserve"> </w:t>
      </w:r>
      <w:r>
        <w:rPr>
          <w:rFonts w:ascii="Times New Roman" w:hAnsi="Times New Roman"/>
          <w:b/>
          <w:i w:val="0"/>
        </w:rPr>
        <w:t>171</w:t>
      </w:r>
      <w:r>
        <w:rPr>
          <w:rFonts w:ascii="Times New Roman" w:hAnsi="Times New Roman"/>
          <w:b w:val="0"/>
          <w:i w:val="0"/>
        </w:rPr>
        <w:t>, 1437–1452 (2017). doi:10.1016/j.cell.2017.10.049</w:t>
      </w:r>
    </w:p>
    <w:p>
      <w:pPr>
        <w:spacing w:before="0" w:after="80"/>
      </w:pPr>
      <w:r>
        <w:rPr>
          <w:rFonts w:ascii="Times New Roman" w:hAnsi="Times New Roman"/>
          <w:b w:val="0"/>
          <w:i w:val="0"/>
        </w:rPr>
        <w:t xml:space="preserve">41. Verbanck, M., Chen, C., Neale, B. &amp; Do, R. Detection of widespread horizontal pleiotropy in causal relationships inferred from Mendelian randomization between complex traits and diseases. </w:t>
      </w:r>
      <w:r>
        <w:rPr>
          <w:rFonts w:ascii="Times New Roman" w:hAnsi="Times New Roman"/>
          <w:b w:val="0"/>
          <w:i/>
        </w:rPr>
        <w:t>Nat. Genet.</w:t>
      </w:r>
      <w:r>
        <w:rPr>
          <w:rFonts w:ascii="Times New Roman" w:hAnsi="Times New Roman"/>
          <w:b w:val="0"/>
          <w:i w:val="0"/>
        </w:rPr>
        <w:t xml:space="preserve"> </w:t>
      </w:r>
      <w:r>
        <w:rPr>
          <w:rFonts w:ascii="Times New Roman" w:hAnsi="Times New Roman"/>
          <w:b/>
          <w:i w:val="0"/>
        </w:rPr>
        <w:t>50</w:t>
      </w:r>
      <w:r>
        <w:rPr>
          <w:rFonts w:ascii="Times New Roman" w:hAnsi="Times New Roman"/>
          <w:b w:val="0"/>
          <w:i w:val="0"/>
        </w:rPr>
        <w:t>, 693–698 (2018). doi:10.1038/s41588-018-0099-7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