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SimHei" w:hAnsi="SimHei"/>
          <w:b/>
          <w:sz w:val="36"/>
        </w:rPr>
        <w:t>福建省自然科学基金 — 面上项目申请书</w:t>
      </w:r>
    </w:p>
    <w:p/>
    <w:p>
      <w:pPr>
        <w:pStyle w:val="Heading1"/>
      </w:pPr>
      <w:r>
        <w:rPr>
          <w:rFonts w:ascii="SimHei" w:hAnsi="SimHei"/>
          <w:color w:val="000000"/>
          <w:sz w:val="30"/>
        </w:rPr>
        <w:t>封面信息</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pPr>
              <w:jc w:val="center"/>
            </w:pPr>
            <w:r/>
            <w:r>
              <w:rPr>
                <w:rFonts w:ascii="SimHei" w:hAnsi="SimHei"/>
                <w:b/>
                <w:sz w:val="20"/>
              </w:rPr>
              <w:t>项目</w:t>
            </w:r>
          </w:p>
        </w:tc>
        <w:tc>
          <w:tcPr>
            <w:tcW w:type="dxa" w:w="4680"/>
            <w:shd w:fill="D9E2F3" w:val="clear"/>
          </w:tcPr>
          <w:p>
            <w:pPr>
              <w:jc w:val="center"/>
            </w:pPr>
            <w:r/>
            <w:r>
              <w:rPr>
                <w:rFonts w:ascii="SimHei" w:hAnsi="SimHei"/>
                <w:b/>
                <w:sz w:val="20"/>
              </w:rPr>
              <w:t>内容</w:t>
            </w:r>
          </w:p>
        </w:tc>
      </w:tr>
      <w:tr>
        <w:tc>
          <w:tcPr>
            <w:tcW w:type="dxa" w:w="4680"/>
          </w:tcPr>
          <w:p>
            <w:pPr>
              <w:jc w:val="left"/>
            </w:pPr>
            <w:r/>
            <w:r>
              <w:rPr>
                <w:rFonts w:ascii="SimSun" w:hAnsi="SimSun"/>
                <w:sz w:val="20"/>
              </w:rPr>
              <w:t>项目名称</w:t>
            </w:r>
          </w:p>
        </w:tc>
        <w:tc>
          <w:tcPr>
            <w:tcW w:type="dxa" w:w="4680"/>
          </w:tcPr>
          <w:p>
            <w:pPr>
              <w:jc w:val="center"/>
            </w:pPr>
            <w:r/>
            <w:r>
              <w:rPr>
                <w:rFonts w:ascii="SimSun" w:hAnsi="SimSun"/>
                <w:sz w:val="20"/>
              </w:rPr>
              <w:t>急性睡眠剥夺下丘脑Pomc神经元转录调控机制及Pomc-Pcsk2正反馈环路的功能研究</w:t>
            </w:r>
          </w:p>
        </w:tc>
      </w:tr>
      <w:tr>
        <w:tc>
          <w:tcPr>
            <w:tcW w:type="dxa" w:w="4680"/>
          </w:tcPr>
          <w:p>
            <w:pPr>
              <w:jc w:val="left"/>
            </w:pPr>
            <w:r/>
            <w:r>
              <w:rPr>
                <w:rFonts w:ascii="SimSun" w:hAnsi="SimSun"/>
                <w:sz w:val="20"/>
              </w:rPr>
              <w:t>申报学科</w:t>
            </w:r>
          </w:p>
        </w:tc>
        <w:tc>
          <w:tcPr>
            <w:tcW w:type="dxa" w:w="4680"/>
          </w:tcPr>
          <w:p>
            <w:pPr>
              <w:jc w:val="center"/>
            </w:pPr>
            <w:r/>
            <w:r>
              <w:rPr>
                <w:rFonts w:ascii="SimSun" w:hAnsi="SimSun"/>
                <w:sz w:val="20"/>
              </w:rPr>
              <w:t>神经生物学 / 睡眠医学</w:t>
            </w:r>
          </w:p>
        </w:tc>
      </w:tr>
      <w:tr>
        <w:tc>
          <w:tcPr>
            <w:tcW w:type="dxa" w:w="4680"/>
          </w:tcPr>
          <w:p>
            <w:pPr>
              <w:jc w:val="left"/>
            </w:pPr>
            <w:r/>
            <w:r>
              <w:rPr>
                <w:rFonts w:ascii="SimSun" w:hAnsi="SimSun"/>
                <w:sz w:val="20"/>
              </w:rPr>
              <w:t>研究期限</w:t>
            </w:r>
          </w:p>
        </w:tc>
        <w:tc>
          <w:tcPr>
            <w:tcW w:type="dxa" w:w="4680"/>
          </w:tcPr>
          <w:p>
            <w:pPr>
              <w:jc w:val="center"/>
            </w:pPr>
            <w:r/>
            <w:r>
              <w:rPr>
                <w:rFonts w:ascii="SimSun" w:hAnsi="SimSun"/>
                <w:sz w:val="20"/>
              </w:rPr>
              <w:t>2027年1月 — 2029年12月（3年）</w:t>
            </w:r>
          </w:p>
        </w:tc>
      </w:tr>
      <w:tr>
        <w:tc>
          <w:tcPr>
            <w:tcW w:type="dxa" w:w="4680"/>
          </w:tcPr>
          <w:p>
            <w:pPr>
              <w:jc w:val="left"/>
            </w:pPr>
            <w:r/>
            <w:r>
              <w:rPr>
                <w:rFonts w:ascii="SimSun" w:hAnsi="SimSun"/>
                <w:sz w:val="20"/>
              </w:rPr>
              <w:t>申请经费</w:t>
            </w:r>
          </w:p>
        </w:tc>
        <w:tc>
          <w:tcPr>
            <w:tcW w:type="dxa" w:w="4680"/>
          </w:tcPr>
          <w:p>
            <w:pPr>
              <w:jc w:val="center"/>
            </w:pPr>
            <w:r/>
            <w:r>
              <w:rPr>
                <w:rFonts w:ascii="SimSun" w:hAnsi="SimSun"/>
                <w:sz w:val="20"/>
              </w:rPr>
              <w:t>15万元</w:t>
            </w:r>
          </w:p>
        </w:tc>
      </w:tr>
      <w:tr>
        <w:tc>
          <w:tcPr>
            <w:tcW w:type="dxa" w:w="4680"/>
          </w:tcPr>
          <w:p>
            <w:pPr>
              <w:jc w:val="left"/>
            </w:pPr>
            <w:r/>
            <w:r>
              <w:rPr>
                <w:rFonts w:ascii="SimSun" w:hAnsi="SimSun"/>
                <w:sz w:val="20"/>
              </w:rPr>
              <w:t>项目负责人</w:t>
            </w:r>
          </w:p>
        </w:tc>
        <w:tc>
          <w:tcPr>
            <w:tcW w:type="dxa" w:w="4680"/>
          </w:tcPr>
          <w:p>
            <w:pPr>
              <w:jc w:val="center"/>
            </w:pPr>
            <w:r/>
            <w:r>
              <w:rPr>
                <w:rFonts w:ascii="SimSun" w:hAnsi="SimSun"/>
                <w:sz w:val="20"/>
              </w:rPr>
              <w:t>杨永新</w:t>
            </w:r>
          </w:p>
        </w:tc>
      </w:tr>
      <w:tr>
        <w:tc>
          <w:tcPr>
            <w:tcW w:type="dxa" w:w="4680"/>
          </w:tcPr>
          <w:p>
            <w:pPr>
              <w:jc w:val="left"/>
            </w:pPr>
            <w:r/>
            <w:r>
              <w:rPr>
                <w:rFonts w:ascii="SimSun" w:hAnsi="SimSun"/>
                <w:sz w:val="20"/>
              </w:rPr>
              <w:t>依托单位</w:t>
            </w:r>
          </w:p>
        </w:tc>
        <w:tc>
          <w:tcPr>
            <w:tcW w:type="dxa" w:w="4680"/>
          </w:tcPr>
          <w:p>
            <w:pPr>
              <w:jc w:val="center"/>
            </w:pPr>
            <w:r/>
            <w:r>
              <w:rPr>
                <w:rFonts w:ascii="SimSun" w:hAnsi="SimSun"/>
                <w:sz w:val="20"/>
              </w:rPr>
              <w:t>福建省第二人民医院</w:t>
            </w:r>
          </w:p>
        </w:tc>
      </w:tr>
      <w:tr>
        <w:tc>
          <w:tcPr>
            <w:tcW w:type="dxa" w:w="4680"/>
          </w:tcPr>
          <w:p>
            <w:pPr>
              <w:jc w:val="left"/>
            </w:pPr>
            <w:r/>
            <w:r>
              <w:rPr>
                <w:rFonts w:ascii="SimSun" w:hAnsi="SimSun"/>
                <w:sz w:val="20"/>
              </w:rPr>
              <w:t>合作单位</w:t>
            </w:r>
          </w:p>
        </w:tc>
        <w:tc>
          <w:tcPr>
            <w:tcW w:type="dxa" w:w="4680"/>
          </w:tcPr>
          <w:p>
            <w:pPr>
              <w:jc w:val="center"/>
            </w:pPr>
            <w:r/>
            <w:r>
              <w:rPr>
                <w:rFonts w:ascii="SimSun" w:hAnsi="SimSun"/>
                <w:sz w:val="20"/>
              </w:rPr>
              <w:t>无</w:t>
            </w:r>
          </w:p>
        </w:tc>
      </w:tr>
    </w:tbl>
    <w:p/>
    <w:p>
      <w:r>
        <w:br w:type="page"/>
      </w:r>
    </w:p>
    <w:p>
      <w:pPr>
        <w:pStyle w:val="Heading1"/>
      </w:pPr>
      <w:r>
        <w:rPr>
          <w:rFonts w:ascii="SimHei" w:hAnsi="SimHei"/>
          <w:color w:val="000000"/>
          <w:sz w:val="30"/>
        </w:rPr>
        <w:t>一、摘要（限400字）</w:t>
      </w:r>
    </w:p>
    <w:p>
      <w:pPr>
        <w:spacing w:line="360" w:lineRule="auto"/>
        <w:ind w:firstLine="420"/>
      </w:pPr>
      <w:r>
        <w:rPr>
          <w:rFonts w:ascii="SimSun" w:hAnsi="SimSun"/>
          <w:b w:val="0"/>
          <w:sz w:val="24"/>
        </w:rPr>
        <w:t>睡眠剥夺影响数亿人口健康，但下丘脑在睡眠缺失中的细胞类型特异性转录调控机制远未明确。我们前期通过单细胞转录组分析发现，前阿黑皮素原（Pomc）是急性睡眠剥夺下下丘脑中最显著下调的基因（log2FC=−4.08, padj=1.3×10⁻¹⁵⁷），并构建了Pomc为中心的基因调控网络（GRN），虚拟敲除预测Pcsk2（前激素转化酶2）是最主要的下游效应基因，梯度提升回归进一步发现二者形成正反馈调控环路（相关成果已发布为bioRxiv预印本）。本项目拟在此基础上，通过睡眠剥夺小鼠模型结合分子生物学技术：（1）在mRNA和蛋白水平验证Pomc/Pcsk2的时空表达变化及下游生物活性肽水平改变；（2）利用siRNA敲低和RNA-seq在细胞模型中验证Pomc对预测靶基因的因果关系；（3）通过ChIP-qPCR和双荧光素酶报告基因初步探索Pomc调控Pcsk2的分子机制。本研究将首次从实验层面验证Pomc-Pcsk2环路在睡眠剥夺中的作用，为睡眠障碍的分子诊断和干预提供新靶点。</w:t>
      </w:r>
    </w:p>
    <w:p/>
    <w:p>
      <w:pPr>
        <w:spacing w:line="360" w:lineRule="auto"/>
      </w:pPr>
      <w:r>
        <w:rPr>
          <w:rFonts w:ascii="SimHei" w:hAnsi="SimHei"/>
          <w:b/>
          <w:i w:val="0"/>
          <w:sz w:val="24"/>
        </w:rPr>
        <w:t>关键词：</w:t>
      </w:r>
      <w:r>
        <w:rPr>
          <w:rFonts w:ascii="SimSun" w:hAnsi="SimSun"/>
          <w:b w:val="0"/>
          <w:i w:val="0"/>
          <w:sz w:val="24"/>
        </w:rPr>
        <w:t>睡眠剥夺、Pomc、Pcsk2、基因调控网络、转录调控</w:t>
      </w:r>
    </w:p>
    <w:p/>
    <w:p>
      <w:pPr>
        <w:pStyle w:val="Heading1"/>
      </w:pPr>
      <w:r>
        <w:rPr>
          <w:rFonts w:ascii="SimHei" w:hAnsi="SimHei"/>
          <w:color w:val="000000"/>
          <w:sz w:val="30"/>
        </w:rPr>
        <w:t>二、立项依据</w:t>
      </w:r>
    </w:p>
    <w:p>
      <w:pPr>
        <w:pStyle w:val="Heading2"/>
      </w:pPr>
      <w:r>
        <w:rPr>
          <w:rFonts w:ascii="SimHei" w:hAnsi="SimHei"/>
          <w:color w:val="000000"/>
          <w:sz w:val="28"/>
        </w:rPr>
        <w:t>2.1 睡眠剥夺的公共卫生负担与分子机制研究的不足</w:t>
      </w:r>
    </w:p>
    <w:p>
      <w:pPr>
        <w:spacing w:line="360" w:lineRule="auto"/>
        <w:ind w:firstLine="420"/>
      </w:pPr>
      <w:r>
        <w:rPr>
          <w:rFonts w:ascii="SimSun" w:hAnsi="SimSun"/>
          <w:b w:val="0"/>
          <w:sz w:val="24"/>
        </w:rPr>
        <w:t>睡眠剥夺是全球性的公共卫生问题。据世界卫生组织统计，全球约30%的成年人报告睡眠不足。在中国，随着城市化进程加速和"996"工作文化普及，睡眠不足已成为突出的健康问题。睡眠剥夺与认知功能损害、代谢综合征、免疫功能抑制和心血管疾病风险升高等密切相关[1-3]。然而，目前对睡眠剥夺的干预手段极为有限——既缺乏客观的分子诊断标志物，也缺乏基于机制的治疗靶点。</w:t>
      </w:r>
    </w:p>
    <w:p>
      <w:pPr>
        <w:spacing w:line="360" w:lineRule="auto"/>
        <w:ind w:firstLine="420"/>
      </w:pPr>
      <w:r>
        <w:rPr>
          <w:rFonts w:ascii="SimSun" w:hAnsi="SimSun"/>
          <w:b w:val="0"/>
          <w:sz w:val="24"/>
        </w:rPr>
        <w:t>在分子层面，睡眠-觉醒状态转换伴随脑内大规模转录重编程[4,5]。早期利用 bulk 组织 RNA-seq 已发现睡眠剥夺改变数百个基因的表达，涉及即刻早期基因（IEGs）、昼夜节律基因、代谢通路和免疫应答等[6,7]。但 bulk 测序掩盖了细胞类型特异性信号：不同细胞类型（神经元、星形胶质细胞、小胶质细胞等）对睡眠剥夺的响应截然不同甚至相反[8]。近年来，单细胞 RNA 测序（scRNA-seq）技术的发展使得在单细胞分辨率解析复杂脑组织的转录异质性成为可能[9]。2024年，Ford等首次将单核RNA测序（snRNA-seq）应用于睡眠剥夺小鼠模型，揭示了前额叶皮层各细胞类型的差异响应[10]，但该研究仅覆盖皮层单个脑区，下丘脑——睡眠-觉醒调控的核心枢纽——的全细胞转录组响应仍未被系统探索。</w:t>
      </w:r>
    </w:p>
    <w:p>
      <w:pPr>
        <w:pStyle w:val="Heading2"/>
      </w:pPr>
      <w:r>
        <w:rPr>
          <w:rFonts w:ascii="SimHei" w:hAnsi="SimHei"/>
          <w:color w:val="000000"/>
          <w:sz w:val="28"/>
        </w:rPr>
        <w:t>2.2 Pomc：连接睡眠、代谢与应激的关键分子</w:t>
      </w:r>
    </w:p>
    <w:p>
      <w:pPr>
        <w:spacing w:line="360" w:lineRule="auto"/>
        <w:ind w:firstLine="420"/>
      </w:pPr>
      <w:r>
        <w:rPr>
          <w:rFonts w:ascii="SimSun" w:hAnsi="SimSun"/>
          <w:b w:val="0"/>
          <w:sz w:val="24"/>
        </w:rPr>
        <w:t>前阿黑皮素原（Pro-opiomelanocortin, POMC）由 Pomc 基因编码，是一个多肽前体蛋白，经前激素转化酶（PC1/3和PC2）组织特异性剪切后产生多种生物活性肽：促肾上腺皮质激素（ACTH）、α-黑色素细胞刺激素（α-MSH）和β-内啡肽[11]。这些肽类分子分别作用于HPA轴激活（ACTH）、能量平衡与摄食调控（α-MSH，通过黑皮质素4受体MC4R）和内源性镇痛/奖赏系统（β-内啡肽，通过μ-阿片受体）。</w:t>
      </w:r>
    </w:p>
    <w:p>
      <w:pPr>
        <w:spacing w:line="360" w:lineRule="auto"/>
        <w:ind w:firstLine="420"/>
      </w:pPr>
      <w:r>
        <w:rPr>
          <w:rFonts w:ascii="SimSun" w:hAnsi="SimSun"/>
          <w:b w:val="0"/>
          <w:sz w:val="24"/>
        </w:rPr>
        <w:t>Pomc 主要在下丘脑弓状核（ARC）的 Pomc 神经元中高表达，也少量表达于脑干孤束核和垂体前叶。Pomc 神经元是公认的"厌食神经元"（anorexigenic neurons），其激活可强烈抑制摄食[12]。近年来研究提示 Pomc 神经元活性受睡眠-觉醒状态调节：Goldstein等（2018）发现 Pomc 神经元在觉醒期活性升高，在睡眠期降低；且人为激活下丘脑 Pomc 神经元可促进觉醒[13]。然而，睡眠缺失对 Pomc 基因本身转录水平的影响、Pomc 蛋白加工通路的下游效应、以及 Pomc 在睡眠剥夺转录组中的网络调控地位，此前均未被系统研究。</w:t>
      </w:r>
    </w:p>
    <w:p>
      <w:pPr>
        <w:pStyle w:val="Heading2"/>
      </w:pPr>
      <w:r>
        <w:rPr>
          <w:rFonts w:ascii="SimHei" w:hAnsi="SimHei"/>
          <w:color w:val="000000"/>
          <w:sz w:val="28"/>
        </w:rPr>
        <w:t>2.3 前期研究基础：单细胞分析发现Pomc是睡眠剥夺转录组核心枢纽（bioRxiv, 2026）</w:t>
      </w:r>
    </w:p>
    <w:p>
      <w:pPr>
        <w:spacing w:line="360" w:lineRule="auto"/>
        <w:ind w:firstLine="420"/>
      </w:pPr>
      <w:r>
        <w:rPr>
          <w:rFonts w:ascii="SimSun" w:hAnsi="SimSun"/>
          <w:b w:val="0"/>
          <w:sz w:val="24"/>
        </w:rPr>
        <w:t>我们通过对 GSE137665 数据集[16]的系统分析（24,778个细胞，涵盖小鼠下丘脑、脑干和皮层三个脑区，三种睡眠状态），取得了以下关键发现（完整结果已发表于bioRxiv预印本[14]）：</w:t>
      </w:r>
    </w:p>
    <w:p>
      <w:pPr>
        <w:spacing w:line="360" w:lineRule="auto"/>
      </w:pPr>
      <w:r>
        <w:rPr>
          <w:rFonts w:ascii="SimSun" w:hAnsi="SimSun"/>
          <w:b/>
          <w:i w:val="0"/>
          <w:sz w:val="24"/>
        </w:rPr>
        <w:t>(1) Pomc是睡眠剥夺下最显著差异表达的基因</w:t>
      </w:r>
    </w:p>
    <w:p>
      <w:pPr>
        <w:spacing w:line="360" w:lineRule="auto"/>
        <w:ind w:firstLine="420"/>
      </w:pPr>
      <w:r>
        <w:rPr>
          <w:rFonts w:ascii="SimSun" w:hAnsi="SimSun"/>
          <w:b w:val="0"/>
          <w:sz w:val="24"/>
        </w:rPr>
        <w:t>在下丘脑181个差异表达基因中，Pomc以log2FC = −4.08、padj = 1.3×10⁻¹⁵⁷排名第一，其表达量从正常睡眠的2.09（log标准化计数）骤降至睡眠剥夺时的0.35（约80%下调），恢复睡眠后反弹至2.32，甚至超过基线水平。此表达变化的幅度远超其他任何基因（第二名Malat1的log2FC仅为−0.53），且Pomc的表达恢复模式提示这是一个受调控的、可逆的转录开关，而非细胞损伤导致的被动下降。</w:t>
      </w:r>
    </w:p>
    <w:p>
      <w:pPr>
        <w:spacing w:line="360" w:lineRule="auto"/>
      </w:pPr>
      <w:r>
        <w:rPr>
          <w:rFonts w:ascii="SimSun" w:hAnsi="SimSun"/>
          <w:b/>
          <w:i w:val="0"/>
          <w:sz w:val="24"/>
        </w:rPr>
        <w:t>(2) 构建了Pomc基因调控网络并预测了虚拟敲除效应</w:t>
      </w:r>
    </w:p>
    <w:p>
      <w:pPr>
        <w:spacing w:line="360" w:lineRule="auto"/>
        <w:ind w:firstLine="420"/>
      </w:pPr>
      <w:r>
        <w:rPr>
          <w:rFonts w:ascii="SimSun" w:hAnsi="SimSun"/>
          <w:b w:val="0"/>
          <w:sz w:val="24"/>
        </w:rPr>
        <w:t>通过Spearman共表达分析（|r|&gt;0.3），我们识别出与Pomc显著共表达的41个基因，其中包括15个已知转录因子（AP-1家族、IEGs、核受体和昼夜节律因子）。我们构建了含35个节点的核心GRN，并利用网络传播算法模拟了Pomc敲除的下游效应。预测结果显示，Pcsk2（前激素转化酶2，predicted log2FC=−0.47）、Scg2（分泌粒蛋白II，predicted log2FC=−0.32）、Ccnd2（细胞周期蛋白D2，−0.38）和Dbp（D-box结合蛋白）是最显著的受影响基因。Pcsk2的预测效应尤为值得关注：它编码的PC2酶正是负责将POMC前体蛋白剪切为α-MSH和β-内啡肽的关键加工酶[15]。</w:t>
      </w:r>
    </w:p>
    <w:p>
      <w:pPr>
        <w:spacing w:line="360" w:lineRule="auto"/>
      </w:pPr>
      <w:r>
        <w:rPr>
          <w:rFonts w:ascii="SimSun" w:hAnsi="SimSun"/>
          <w:b/>
          <w:i w:val="0"/>
          <w:sz w:val="24"/>
        </w:rPr>
        <w:t>(3) 梯度提升回归（GRNBoost2）发现Pomc-Pcsk2正反馈环路</w:t>
      </w:r>
    </w:p>
    <w:p>
      <w:pPr>
        <w:spacing w:line="360" w:lineRule="auto"/>
        <w:ind w:firstLine="420"/>
      </w:pPr>
      <w:r>
        <w:rPr>
          <w:rFonts w:ascii="SimSun" w:hAnsi="SimSun"/>
          <w:b w:val="0"/>
          <w:sz w:val="24"/>
        </w:rPr>
        <w:t>我们进一步应用梯度提升回归（GBR，即pySCENIC中GRNBoost2[17]的等价算法）进行GRN推断，在93个TFs和100个靶基因间识别出5,517个方向性调控关系。结果显示：Pcsk2同时是Pomc的Top 1靶基因（GBR importance = 0.766）和Top 1调控因子（importance = 0.510）。Junb（0.144）和Scg2（0.114）分别是第二和第三调控因子。三个独立计算方法（Spearman GRN、TF活性推断、GBR）交叉验证了Pomc-Pcsk2调控关系的稳健性。</w:t>
      </w:r>
    </w:p>
    <w:p>
      <w:pPr>
        <w:spacing w:line="360" w:lineRule="auto"/>
      </w:pPr>
      <w:r>
        <w:rPr>
          <w:rFonts w:ascii="SimSun" w:hAnsi="SimSun"/>
          <w:b/>
          <w:i w:val="0"/>
          <w:sz w:val="24"/>
        </w:rPr>
        <w:t>(4) 机器学习识别六基因睡眠剥夺生物标志物组合，外部数据集独立验证</w:t>
      </w:r>
    </w:p>
    <w:p>
      <w:pPr>
        <w:spacing w:line="360" w:lineRule="auto"/>
        <w:ind w:firstLine="420"/>
      </w:pPr>
      <w:r>
        <w:rPr>
          <w:rFonts w:ascii="SimSun" w:hAnsi="SimSun"/>
          <w:b w:val="0"/>
          <w:sz w:val="24"/>
        </w:rPr>
        <w:t>LASSO、随机森林和SVM-RFE三种特征选择方法的共识分析识别出六个生物标志物（Dbp、Nr3c1、Pomc、Rbm3、Rnaset2a、Tsc22d3），联合AUC达0.931。在两个独立外部数据集（GSE211088、GSE237419）中，Pomc一致性下调（log2FC=−1.66），跨数据集75个关键基因的Spearman相关系数达0.728（p&lt;0.001）。</w:t>
      </w:r>
    </w:p>
    <w:p>
      <w:pPr>
        <w:pStyle w:val="Heading2"/>
      </w:pPr>
      <w:r>
        <w:rPr>
          <w:rFonts w:ascii="SimHei" w:hAnsi="SimHei"/>
          <w:color w:val="000000"/>
          <w:sz w:val="28"/>
        </w:rPr>
        <w:t>2.4 科学假说：Pomc-Pcsk2正反馈环路构成睡眠剥夺转录反应的"双打击"放大器</w:t>
      </w:r>
    </w:p>
    <w:p>
      <w:pPr>
        <w:spacing w:line="360" w:lineRule="auto"/>
        <w:ind w:firstLine="420"/>
      </w:pPr>
      <w:r>
        <w:rPr>
          <w:rFonts w:ascii="SimSun" w:hAnsi="SimSun"/>
          <w:b w:val="0"/>
          <w:sz w:val="24"/>
        </w:rPr>
        <w:t>基于上述计算发现，我们提出以下科学假说：</w:t>
      </w:r>
    </w:p>
    <w:p>
      <w:pPr>
        <w:spacing w:line="360" w:lineRule="auto" w:before="120" w:after="120"/>
        <w:ind w:firstLine="420"/>
      </w:pPr>
      <w:r>
        <w:rPr>
          <w:rFonts w:ascii="SimSun" w:hAnsi="SimSun"/>
          <w:b/>
          <w:sz w:val="24"/>
        </w:rPr>
        <w:t>睡眠剥夺 → Pomc转录急剧下降 → Pcsk2表达降低（因正反馈环路断裂）→ PC2酶水平下降 → POMC前体蛋白加工能力削弱 → 成熟α-MSH和β-内啡肽产生减少 → (a) 摄食抑制减弱/食欲增加 (b) 内源性镇痛减弱 (c) HPA轴失调 → 同时，Pcsk2下降进一步削弱Pomc的表达（正反馈环路的反向效应），形成"双打击"恶性循环，放大睡眠剥夺的代谢和神经内分泌后果。</w:t>
      </w:r>
    </w:p>
    <w:p/>
    <w:p>
      <w:pPr>
        <w:spacing w:line="360" w:lineRule="auto"/>
        <w:ind w:firstLine="420"/>
      </w:pPr>
      <w:r>
        <w:rPr>
          <w:rFonts w:ascii="SimSun" w:hAnsi="SimSun"/>
          <w:b w:val="0"/>
          <w:sz w:val="20"/>
        </w:rPr>
        <w:t>[机制图占位: grant/mechanism_diagram_nsfc.png — 运行 generate_mechanism_diagrams.py 生成]</w:t>
      </w:r>
    </w:p>
    <w:p>
      <w:pPr>
        <w:pStyle w:val="Heading2"/>
      </w:pPr>
      <w:r>
        <w:rPr>
          <w:rFonts w:ascii="SimHei" w:hAnsi="SimHei"/>
          <w:color w:val="000000"/>
          <w:sz w:val="28"/>
        </w:rPr>
        <w:t>2.5 本项目的科学意义</w:t>
      </w:r>
    </w:p>
    <w:p>
      <w:pPr>
        <w:spacing w:line="360" w:lineRule="auto"/>
        <w:ind w:firstLine="420"/>
      </w:pPr>
      <w:r>
        <w:rPr>
          <w:rFonts w:ascii="SimSun" w:hAnsi="SimSun"/>
          <w:b w:val="0"/>
          <w:sz w:val="24"/>
        </w:rPr>
        <w:t>本项目将首次实现从"生物信息学预测"到"分子实验验证"的完整研究闭环。其科学意义在于：（1）在单细胞分辨率阐明Pomc在睡眠剥夺中的核心调控地位；（2）实验验证一个此前未报道的Pomc-Pcsk2正反馈环路；（3）为理解睡眠剥夺如何通过神经肽加工通路影响摄食、代谢和应激提供新的分子框架；（4）为开发基于Pomc/Pcsk2的睡眠障碍生物标志物和干预策略提供理论基础。</w:t>
      </w:r>
    </w:p>
    <w:p>
      <w:pPr>
        <w:pStyle w:val="Heading2"/>
      </w:pPr>
      <w:r>
        <w:rPr>
          <w:rFonts w:ascii="SimHei" w:hAnsi="SimHei"/>
          <w:color w:val="000000"/>
          <w:sz w:val="28"/>
        </w:rPr>
        <w:t>参考文献（立项依据部分）</w:t>
      </w:r>
    </w:p>
    <w:p>
      <w:pPr>
        <w:spacing w:line="312" w:lineRule="auto"/>
      </w:pPr>
      <w:r>
        <w:rPr>
          <w:rFonts w:ascii="Times New Roman" w:hAnsi="Times New Roman"/>
          <w:sz w:val="20"/>
        </w:rPr>
        <w:t>[1] Medic G, et al. Nat Sci Sleep. 2017;9:151-161.</w:t>
      </w:r>
    </w:p>
    <w:p>
      <w:pPr>
        <w:spacing w:line="312" w:lineRule="auto"/>
      </w:pPr>
      <w:r>
        <w:rPr>
          <w:rFonts w:ascii="Times New Roman" w:hAnsi="Times New Roman"/>
          <w:sz w:val="20"/>
        </w:rPr>
        <w:t>[2] Krause AJ, et al. Nat Rev Neurosci. 2017;18(7):404-418.</w:t>
      </w:r>
    </w:p>
    <w:p>
      <w:pPr>
        <w:spacing w:line="312" w:lineRule="auto"/>
      </w:pPr>
      <w:r>
        <w:rPr>
          <w:rFonts w:ascii="Times New Roman" w:hAnsi="Times New Roman"/>
          <w:sz w:val="20"/>
        </w:rPr>
        <w:t>[3] Knutson KL, et al. Sleep Med Rev. 2007;11(3):163-178.</w:t>
      </w:r>
    </w:p>
    <w:p>
      <w:pPr>
        <w:spacing w:line="312" w:lineRule="auto"/>
      </w:pPr>
      <w:r>
        <w:rPr>
          <w:rFonts w:ascii="Times New Roman" w:hAnsi="Times New Roman"/>
          <w:sz w:val="20"/>
        </w:rPr>
        <w:t>[4] Cirelli C, Tononi G. Brain Res. 2000;885(2):303-321.</w:t>
      </w:r>
    </w:p>
    <w:p>
      <w:pPr>
        <w:spacing w:line="312" w:lineRule="auto"/>
      </w:pPr>
      <w:r>
        <w:rPr>
          <w:rFonts w:ascii="Times New Roman" w:hAnsi="Times New Roman"/>
          <w:sz w:val="20"/>
        </w:rPr>
        <w:t>[5] Mackiewicz M, et al. Physiol Genomics. 2007;31(3):441-457.</w:t>
      </w:r>
    </w:p>
    <w:p>
      <w:pPr>
        <w:spacing w:line="312" w:lineRule="auto"/>
      </w:pPr>
      <w:r>
        <w:rPr>
          <w:rFonts w:ascii="Times New Roman" w:hAnsi="Times New Roman"/>
          <w:sz w:val="20"/>
        </w:rPr>
        <w:t>[6] Thompson CL, et al. Neuron. 2014;83(2):309-323.</w:t>
      </w:r>
    </w:p>
    <w:p>
      <w:pPr>
        <w:spacing w:line="312" w:lineRule="auto"/>
      </w:pPr>
      <w:r>
        <w:rPr>
          <w:rFonts w:ascii="Times New Roman" w:hAnsi="Times New Roman"/>
          <w:sz w:val="20"/>
        </w:rPr>
        <w:t>[7] Noya SB, et al. Science. 2019;366(6462):eaav2642.</w:t>
      </w:r>
    </w:p>
    <w:p>
      <w:pPr>
        <w:spacing w:line="312" w:lineRule="auto"/>
      </w:pPr>
      <w:r>
        <w:rPr>
          <w:rFonts w:ascii="Times New Roman" w:hAnsi="Times New Roman"/>
          <w:sz w:val="20"/>
        </w:rPr>
        <w:t>[8] Bellesi M, et al. J Neurosci. 2013;33(32):13112-13125.</w:t>
      </w:r>
    </w:p>
    <w:p>
      <w:pPr>
        <w:spacing w:line="312" w:lineRule="auto"/>
      </w:pPr>
      <w:r>
        <w:rPr>
          <w:rFonts w:ascii="Times New Roman" w:hAnsi="Times New Roman"/>
          <w:sz w:val="20"/>
        </w:rPr>
        <w:t>[9] Zheng GXY, et al. Massively parallel digital transcriptional profiling of single cells. Nat Commun. 2017;8:14049.</w:t>
      </w:r>
    </w:p>
    <w:p>
      <w:pPr>
        <w:spacing w:line="312" w:lineRule="auto"/>
      </w:pPr>
      <w:r>
        <w:rPr>
          <w:rFonts w:ascii="Times New Roman" w:hAnsi="Times New Roman"/>
          <w:sz w:val="20"/>
        </w:rPr>
        <w:t>[10] Ford K, et al. A global transcriptional atlas of the effect of acute sleep deprivation in the mouse frontal cortex. iScience. 2024;27(10):110752.</w:t>
      </w:r>
    </w:p>
    <w:p>
      <w:pPr>
        <w:spacing w:line="312" w:lineRule="auto"/>
      </w:pPr>
      <w:r>
        <w:rPr>
          <w:rFonts w:ascii="Times New Roman" w:hAnsi="Times New Roman"/>
          <w:sz w:val="20"/>
        </w:rPr>
        <w:t>[11] Cawley NX, et al. J Mol Endocrinol. 2016;56(4):T77-T97.</w:t>
      </w:r>
    </w:p>
    <w:p>
      <w:pPr>
        <w:spacing w:line="312" w:lineRule="auto"/>
      </w:pPr>
      <w:r>
        <w:rPr>
          <w:rFonts w:ascii="Times New Roman" w:hAnsi="Times New Roman"/>
          <w:sz w:val="20"/>
        </w:rPr>
        <w:t>[12] Zhan C, et al. J Neurosci. 2013;33(8):3624-3632.</w:t>
      </w:r>
    </w:p>
    <w:p>
      <w:pPr>
        <w:spacing w:line="312" w:lineRule="auto"/>
      </w:pPr>
      <w:r>
        <w:rPr>
          <w:rFonts w:ascii="Times New Roman" w:hAnsi="Times New Roman"/>
          <w:sz w:val="20"/>
        </w:rPr>
        <w:t>[13] Goldstein N, et al. Curr Biol. 2018;28(23):3736-3747.</w:t>
      </w:r>
    </w:p>
    <w:p>
      <w:pPr>
        <w:spacing w:line="312" w:lineRule="auto"/>
      </w:pPr>
      <w:r>
        <w:rPr>
          <w:rFonts w:ascii="Times New Roman" w:hAnsi="Times New Roman"/>
          <w:sz w:val="20"/>
        </w:rPr>
        <w:t>[14] Yang YX. Single-Cell Transcriptomic Analysis of Sleep Deprivation Reveals Pomc as a Central Regulatory Hub. bioRxiv, 2026 (manuscript in preparation).</w:t>
      </w:r>
    </w:p>
    <w:p>
      <w:pPr>
        <w:spacing w:line="312" w:lineRule="auto"/>
      </w:pPr>
      <w:r>
        <w:rPr>
          <w:rFonts w:ascii="Times New Roman" w:hAnsi="Times New Roman"/>
          <w:sz w:val="20"/>
        </w:rPr>
        <w:t>[15] Benjannet S, et al. Proc Natl Acad Sci USA. 1991;88(9):3564-3568.</w:t>
      </w:r>
    </w:p>
    <w:p>
      <w:pPr>
        <w:spacing w:line="312" w:lineRule="auto"/>
      </w:pPr>
      <w:r>
        <w:rPr>
          <w:rFonts w:ascii="Times New Roman" w:hAnsi="Times New Roman"/>
          <w:sz w:val="20"/>
        </w:rPr>
        <w:t>[16] Jha PK, et al. Single-cell transcriptomics and cell-specific proteomics reveals molecular signatures of sleep. Commun Biol. 2022;5:846.</w:t>
      </w:r>
    </w:p>
    <w:p>
      <w:pPr>
        <w:spacing w:line="312" w:lineRule="auto"/>
      </w:pPr>
      <w:r>
        <w:rPr>
          <w:rFonts w:ascii="Times New Roman" w:hAnsi="Times New Roman"/>
          <w:sz w:val="20"/>
        </w:rPr>
        <w:t>[17] Aibar S, et al. SCENIC: single-cell regulatory network inference and clustering. Nat Methods. 2017;14:1083-1086.</w:t>
      </w:r>
    </w:p>
    <w:p>
      <w:r>
        <w:br w:type="page"/>
      </w:r>
    </w:p>
    <w:p>
      <w:pPr>
        <w:pStyle w:val="Heading1"/>
      </w:pPr>
      <w:r>
        <w:rPr>
          <w:rFonts w:ascii="SimHei" w:hAnsi="SimHei"/>
          <w:color w:val="000000"/>
          <w:sz w:val="30"/>
        </w:rPr>
        <w:t>三、研究目标</w:t>
      </w:r>
    </w:p>
    <w:p>
      <w:pPr>
        <w:spacing w:line="360" w:lineRule="auto"/>
        <w:ind w:firstLine="420"/>
      </w:pPr>
      <w:r>
        <w:rPr>
          <w:rFonts w:ascii="SimSun" w:hAnsi="SimSun"/>
          <w:b/>
          <w:sz w:val="24"/>
        </w:rPr>
        <w:t>总体目标：以计算预测为指导，通过动物和细胞实验验证Pomc-Pcsk2调控环路在急性睡眠剥夺中的功能角色，并初步解析其分子机制。</w:t>
      </w:r>
    </w:p>
    <w:p/>
    <w:p>
      <w:pPr>
        <w:spacing w:line="360" w:lineRule="auto"/>
      </w:pPr>
      <w:r>
        <w:rPr>
          <w:rFonts w:ascii="SimSun" w:hAnsi="SimSun"/>
          <w:b/>
          <w:sz w:val="24"/>
        </w:rPr>
        <w:t>具体目标：</w:t>
      </w:r>
    </w:p>
    <w:p>
      <w:pPr>
        <w:spacing w:line="360" w:lineRule="auto"/>
        <w:ind w:firstLine="420"/>
      </w:pPr>
      <w:r>
        <w:rPr>
          <w:rFonts w:ascii="SimSun" w:hAnsi="SimSun"/>
          <w:b w:val="0"/>
          <w:sz w:val="24"/>
        </w:rPr>
        <w:t>1. 在mRNA、蛋白和生物活性肽三个层面验证Pomc和Pcsk2在睡眠剥夺中的表达变化</w:t>
      </w:r>
    </w:p>
    <w:p>
      <w:pPr>
        <w:spacing w:line="360" w:lineRule="auto"/>
        <w:ind w:firstLine="420"/>
      </w:pPr>
      <w:r>
        <w:rPr>
          <w:rFonts w:ascii="SimSun" w:hAnsi="SimSun"/>
          <w:b w:val="0"/>
          <w:sz w:val="24"/>
        </w:rPr>
        <w:t>2. 通过siRNA介导的Pomc敲低实验，验证虚拟敲除预测的下游靶基因及Pomc-Pcsk2的因果关系</w:t>
      </w:r>
    </w:p>
    <w:p>
      <w:pPr>
        <w:spacing w:line="360" w:lineRule="auto"/>
        <w:ind w:firstLine="420"/>
      </w:pPr>
      <w:r>
        <w:rPr>
          <w:rFonts w:ascii="SimSun" w:hAnsi="SimSun"/>
          <w:b w:val="0"/>
          <w:sz w:val="24"/>
        </w:rPr>
        <w:t>3. 通过启动子分析和ChIP实验，初步探索调控Pomc-Pcsk2环路的转录因子基础</w:t>
      </w:r>
    </w:p>
    <w:p/>
    <w:p>
      <w:pPr>
        <w:pStyle w:val="Heading1"/>
      </w:pPr>
      <w:r>
        <w:rPr>
          <w:rFonts w:ascii="SimHei" w:hAnsi="SimHei"/>
          <w:color w:val="000000"/>
          <w:sz w:val="30"/>
        </w:rPr>
        <w:t>四、研究内容</w:t>
      </w:r>
    </w:p>
    <w:p>
      <w:pPr>
        <w:pStyle w:val="Heading2"/>
      </w:pPr>
      <w:r>
        <w:rPr>
          <w:rFonts w:ascii="SimHei" w:hAnsi="SimHei"/>
          <w:color w:val="000000"/>
          <w:sz w:val="28"/>
        </w:rPr>
        <w:t>内容一：Pomc/Pcsk2在睡眠剥夺中的时空表达验证及下游肽水平检测</w:t>
      </w:r>
    </w:p>
    <w:p>
      <w:pPr>
        <w:spacing w:line="360" w:lineRule="auto"/>
      </w:pPr>
      <w:r>
        <w:rPr>
          <w:rFonts w:ascii="SimSun" w:hAnsi="SimSun"/>
          <w:b/>
          <w:sz w:val="24"/>
        </w:rPr>
        <w:t>目的：系统验证前期计算发现的Pomc和Pcsk2表达变化，并将观察从mRNA水平延伸至蛋白和功能肽水平。</w:t>
      </w:r>
    </w:p>
    <w:p/>
    <w:p>
      <w:pPr>
        <w:spacing w:line="360" w:lineRule="auto"/>
      </w:pPr>
      <w:r>
        <w:rPr>
          <w:rFonts w:ascii="SimSun" w:hAnsi="SimSun"/>
          <w:b/>
          <w:i w:val="0"/>
          <w:sz w:val="24"/>
        </w:rPr>
        <w:t>(1) 急性睡眠剥夺小鼠模型建立</w:t>
      </w:r>
    </w:p>
    <w:p>
      <w:pPr>
        <w:spacing w:line="360" w:lineRule="auto"/>
        <w:ind w:firstLine="420"/>
      </w:pPr>
      <w:r>
        <w:rPr>
          <w:rFonts w:ascii="SimSun" w:hAnsi="SimSun"/>
          <w:b w:val="0"/>
          <w:sz w:val="24"/>
        </w:rPr>
        <w:t>动物：8周龄雄性C57BL/6J小鼠</w:t>
      </w:r>
    </w:p>
    <w:p>
      <w:pPr>
        <w:spacing w:line="360" w:lineRule="auto"/>
        <w:ind w:firstLine="420"/>
      </w:pPr>
      <w:r>
        <w:rPr>
          <w:rFonts w:ascii="SimSun" w:hAnsi="SimSun"/>
          <w:b w:val="0"/>
          <w:sz w:val="24"/>
        </w:rPr>
        <w:t>分组：正常睡眠对照组（A1, ZT0-5）、5小时睡眠剥夺组（A2, ZT0-5轻柔触碰法）、2小时恢复睡眠组（A3）。n=6只/组，共18只</w:t>
      </w:r>
    </w:p>
    <w:p>
      <w:pPr>
        <w:spacing w:line="360" w:lineRule="auto"/>
        <w:ind w:firstLine="420"/>
      </w:pPr>
      <w:r>
        <w:rPr>
          <w:rFonts w:ascii="SimSun" w:hAnsi="SimSun"/>
          <w:b w:val="0"/>
          <w:sz w:val="24"/>
        </w:rPr>
        <w:t>取材：下丘脑（重点弓状核区域）、脑干、皮层；血液（血浆）</w:t>
      </w:r>
    </w:p>
    <w:p>
      <w:pPr>
        <w:spacing w:line="360" w:lineRule="auto"/>
      </w:pPr>
      <w:r>
        <w:rPr>
          <w:rFonts w:ascii="SimSun" w:hAnsi="SimSun"/>
          <w:b/>
          <w:i w:val="0"/>
          <w:sz w:val="24"/>
        </w:rPr>
        <w:t>(2) mRNA表达验证（qRT-PCR）</w:t>
      </w:r>
    </w:p>
    <w:p>
      <w:pPr>
        <w:spacing w:line="360" w:lineRule="auto"/>
        <w:ind w:firstLine="420"/>
      </w:pPr>
      <w:r>
        <w:rPr>
          <w:rFonts w:ascii="SimSun" w:hAnsi="SimSun"/>
          <w:b w:val="0"/>
          <w:sz w:val="24"/>
        </w:rPr>
        <w:t>检测基因：Pomc、Pcsk2、Scg2、Cga、Gnas、Dbp、Nr3c1、Malat1、Ccnd2、Fos、Jun、Egr1</w:t>
      </w:r>
    </w:p>
    <w:p>
      <w:pPr>
        <w:spacing w:line="360" w:lineRule="auto"/>
        <w:ind w:firstLine="420"/>
      </w:pPr>
      <w:r>
        <w:rPr>
          <w:rFonts w:ascii="SimSun" w:hAnsi="SimSun"/>
          <w:b w:val="0"/>
          <w:sz w:val="24"/>
        </w:rPr>
        <w:t>内参：Gapdh、Actb</w:t>
      </w:r>
    </w:p>
    <w:p>
      <w:pPr>
        <w:spacing w:line="360" w:lineRule="auto"/>
        <w:ind w:firstLine="420"/>
      </w:pPr>
      <w:r>
        <w:rPr>
          <w:rFonts w:ascii="SimSun" w:hAnsi="SimSun"/>
          <w:b w:val="0"/>
          <w:sz w:val="24"/>
        </w:rPr>
        <w:t>预测结果：SD组Pomc mRNA↓80%+，Pcsk2↓30-50%</w:t>
      </w:r>
    </w:p>
    <w:p>
      <w:pPr>
        <w:spacing w:line="360" w:lineRule="auto"/>
      </w:pPr>
      <w:r>
        <w:rPr>
          <w:rFonts w:ascii="SimSun" w:hAnsi="SimSun"/>
          <w:b/>
          <w:i w:val="0"/>
          <w:sz w:val="24"/>
        </w:rPr>
        <w:t>(3) 蛋白水平验证（Western Blot）</w:t>
      </w:r>
    </w:p>
    <w:p>
      <w:pPr>
        <w:spacing w:line="360" w:lineRule="auto"/>
        <w:ind w:firstLine="420"/>
      </w:pPr>
      <w:r>
        <w:rPr>
          <w:rFonts w:ascii="SimSun" w:hAnsi="SimSun"/>
          <w:b w:val="0"/>
          <w:sz w:val="24"/>
        </w:rPr>
        <w:t>检测蛋白：POMC（~31kDa前体）、PC2（~70kDa）、SCG2、DBP</w:t>
      </w:r>
    </w:p>
    <w:p>
      <w:pPr>
        <w:spacing w:line="360" w:lineRule="auto"/>
        <w:ind w:firstLine="420"/>
      </w:pPr>
      <w:r>
        <w:rPr>
          <w:rFonts w:ascii="SimSun" w:hAnsi="SimSun"/>
          <w:b w:val="0"/>
          <w:sz w:val="24"/>
        </w:rPr>
        <w:t>内参：β-actin</w:t>
      </w:r>
    </w:p>
    <w:p>
      <w:pPr>
        <w:spacing w:line="360" w:lineRule="auto"/>
        <w:ind w:firstLine="420"/>
      </w:pPr>
      <w:r>
        <w:rPr>
          <w:rFonts w:ascii="SimSun" w:hAnsi="SimSun"/>
          <w:b w:val="0"/>
          <w:sz w:val="24"/>
        </w:rPr>
        <w:t>预测结果：POMC↓，PC2↓</w:t>
      </w:r>
    </w:p>
    <w:p>
      <w:pPr>
        <w:spacing w:line="360" w:lineRule="auto"/>
      </w:pPr>
      <w:r>
        <w:rPr>
          <w:rFonts w:ascii="SimSun" w:hAnsi="SimSun"/>
          <w:b/>
          <w:i w:val="0"/>
          <w:sz w:val="24"/>
        </w:rPr>
        <w:t>(4) 空间表达验证（免疫荧光双标）</w:t>
      </w:r>
    </w:p>
    <w:p>
      <w:pPr>
        <w:spacing w:line="360" w:lineRule="auto"/>
        <w:ind w:firstLine="420"/>
      </w:pPr>
      <w:r>
        <w:rPr>
          <w:rFonts w:ascii="SimSun" w:hAnsi="SimSun"/>
          <w:b w:val="0"/>
          <w:sz w:val="24"/>
        </w:rPr>
        <w:t>下丘脑冰冻切片（含弓状核）</w:t>
      </w:r>
    </w:p>
    <w:p>
      <w:pPr>
        <w:spacing w:line="360" w:lineRule="auto"/>
        <w:ind w:firstLine="420"/>
      </w:pPr>
      <w:r>
        <w:rPr>
          <w:rFonts w:ascii="SimSun" w:hAnsi="SimSun"/>
          <w:b w:val="0"/>
          <w:sz w:val="24"/>
        </w:rPr>
        <w:t>POMC + PC2 双重免疫荧光</w:t>
      </w:r>
    </w:p>
    <w:p>
      <w:pPr>
        <w:spacing w:line="360" w:lineRule="auto"/>
        <w:ind w:firstLine="420"/>
      </w:pPr>
      <w:r>
        <w:rPr>
          <w:rFonts w:ascii="SimSun" w:hAnsi="SimSun"/>
          <w:b w:val="0"/>
          <w:sz w:val="24"/>
        </w:rPr>
        <w:t>定量分析共定位信号强度（Pearson相关系数）</w:t>
      </w:r>
    </w:p>
    <w:p>
      <w:pPr>
        <w:spacing w:line="360" w:lineRule="auto"/>
      </w:pPr>
      <w:r>
        <w:rPr>
          <w:rFonts w:ascii="SimSun" w:hAnsi="SimSun"/>
          <w:b/>
          <w:i w:val="0"/>
          <w:sz w:val="24"/>
        </w:rPr>
        <w:t>(5) 下游生物活性肽检测（ELISA）</w:t>
      </w:r>
    </w:p>
    <w:p>
      <w:pPr>
        <w:spacing w:line="360" w:lineRule="auto"/>
        <w:ind w:firstLine="420"/>
      </w:pPr>
      <w:r>
        <w:rPr>
          <w:rFonts w:ascii="SimSun" w:hAnsi="SimSun"/>
          <w:b w:val="0"/>
          <w:sz w:val="24"/>
        </w:rPr>
        <w:t>血浆α-MSH、ACTH、β-内啡肽</w:t>
      </w:r>
    </w:p>
    <w:p>
      <w:pPr>
        <w:spacing w:line="360" w:lineRule="auto"/>
        <w:ind w:firstLine="420"/>
      </w:pPr>
      <w:r>
        <w:rPr>
          <w:rFonts w:ascii="SimSun" w:hAnsi="SimSun"/>
          <w:b w:val="0"/>
          <w:sz w:val="24"/>
        </w:rPr>
        <w:t>预测结果：SD组三种肽水平均显著下降</w:t>
      </w:r>
    </w:p>
    <w:p>
      <w:pPr>
        <w:spacing w:line="360" w:lineRule="auto"/>
      </w:pPr>
      <w:r>
        <w:rPr>
          <w:rFonts w:ascii="SimSun" w:hAnsi="SimSun"/>
          <w:b/>
          <w:sz w:val="24"/>
        </w:rPr>
        <w:t>预期成果：多层面确认Pomc-Pcsk2在SD中的一致性下调，明确功能肽水平的后果。</w:t>
      </w:r>
    </w:p>
    <w:p/>
    <w:p>
      <w:pPr>
        <w:pStyle w:val="Heading2"/>
      </w:pPr>
      <w:r>
        <w:rPr>
          <w:rFonts w:ascii="SimHei" w:hAnsi="SimHei"/>
          <w:color w:val="000000"/>
          <w:sz w:val="28"/>
        </w:rPr>
        <w:t>内容二：Pomc敲低对下游靶基因的因果验证</w:t>
      </w:r>
    </w:p>
    <w:p>
      <w:pPr>
        <w:spacing w:line="360" w:lineRule="auto"/>
      </w:pPr>
      <w:r>
        <w:rPr>
          <w:rFonts w:ascii="SimSun" w:hAnsi="SimSun"/>
          <w:b/>
          <w:sz w:val="24"/>
        </w:rPr>
        <w:t>目的：验证虚拟敲除预测，确立Pomc→Pcsk2的因果调控关系。</w:t>
      </w:r>
    </w:p>
    <w:p/>
    <w:p>
      <w:pPr>
        <w:spacing w:line="360" w:lineRule="auto"/>
      </w:pPr>
      <w:r>
        <w:rPr>
          <w:rFonts w:ascii="SimSun" w:hAnsi="SimSun"/>
          <w:b/>
          <w:i w:val="0"/>
          <w:sz w:val="24"/>
        </w:rPr>
        <w:t>(1) 细胞模型建立</w:t>
      </w:r>
    </w:p>
    <w:p>
      <w:pPr>
        <w:spacing w:line="360" w:lineRule="auto"/>
        <w:ind w:firstLine="420"/>
      </w:pPr>
      <w:r>
        <w:rPr>
          <w:rFonts w:ascii="SimSun" w:hAnsi="SimSun"/>
          <w:b w:val="0"/>
          <w:sz w:val="24"/>
        </w:rPr>
        <w:t>使用GT1-7细胞系（小鼠下丘脑GnRH神经元细胞系，内源表达Pomc）</w:t>
      </w:r>
    </w:p>
    <w:p>
      <w:pPr>
        <w:spacing w:line="360" w:lineRule="auto"/>
        <w:ind w:firstLine="420"/>
      </w:pPr>
      <w:r>
        <w:rPr>
          <w:rFonts w:ascii="SimSun" w:hAnsi="SimSun"/>
          <w:b w:val="0"/>
          <w:sz w:val="24"/>
        </w:rPr>
        <w:t>或N2a细胞系（小鼠神经母细胞瘤，转染Pomc表达质粒）</w:t>
      </w:r>
    </w:p>
    <w:p>
      <w:pPr>
        <w:spacing w:line="360" w:lineRule="auto"/>
      </w:pPr>
      <w:r>
        <w:rPr>
          <w:rFonts w:ascii="SimSun" w:hAnsi="SimSun"/>
          <w:b/>
          <w:i w:val="0"/>
          <w:sz w:val="24"/>
        </w:rPr>
        <w:t>(2) siRNA介导的Pomc敲低</w:t>
      </w:r>
    </w:p>
    <w:p>
      <w:pPr>
        <w:spacing w:line="360" w:lineRule="auto"/>
        <w:ind w:firstLine="420"/>
      </w:pPr>
      <w:r>
        <w:rPr>
          <w:rFonts w:ascii="SimSun" w:hAnsi="SimSun"/>
          <w:b w:val="0"/>
          <w:sz w:val="24"/>
        </w:rPr>
        <w:t>设计3条Pomc siRNA + 1条scrambled阴性对照</w:t>
      </w:r>
    </w:p>
    <w:p>
      <w:pPr>
        <w:spacing w:line="360" w:lineRule="auto"/>
        <w:ind w:firstLine="420"/>
      </w:pPr>
      <w:r>
        <w:rPr>
          <w:rFonts w:ascii="SimSun" w:hAnsi="SimSun"/>
          <w:b w:val="0"/>
          <w:sz w:val="24"/>
        </w:rPr>
        <w:t>转染后48h收集细胞，qPCR验证敲低效率（目标&gt;70%）</w:t>
      </w:r>
    </w:p>
    <w:p>
      <w:pPr>
        <w:spacing w:line="360" w:lineRule="auto"/>
        <w:ind w:firstLine="420"/>
      </w:pPr>
      <w:r>
        <w:rPr>
          <w:rFonts w:ascii="SimSun" w:hAnsi="SimSun"/>
          <w:b w:val="0"/>
          <w:sz w:val="24"/>
        </w:rPr>
        <w:t>n=3生物学重复</w:t>
      </w:r>
    </w:p>
    <w:p>
      <w:pPr>
        <w:spacing w:line="360" w:lineRule="auto"/>
      </w:pPr>
      <w:r>
        <w:rPr>
          <w:rFonts w:ascii="SimSun" w:hAnsi="SimSun"/>
          <w:b/>
          <w:i w:val="0"/>
          <w:sz w:val="24"/>
        </w:rPr>
        <w:t>(3) 靶基因表达panel检测</w:t>
      </w:r>
    </w:p>
    <w:p>
      <w:pPr>
        <w:spacing w:line="360" w:lineRule="auto"/>
        <w:ind w:firstLine="420"/>
      </w:pPr>
      <w:r>
        <w:rPr>
          <w:rFonts w:ascii="SimSun" w:hAnsi="SimSun"/>
          <w:b w:val="0"/>
          <w:sz w:val="24"/>
        </w:rPr>
        <w:t>定制20基因qPCR panel（含Pcsk2、Scg2、Malat1、Ccnd2、Dbp、Gnas、Cga、Nr3c1等预测靶基因及Fos、Jun、Egr1等共表达TFs）</w:t>
      </w:r>
    </w:p>
    <w:p>
      <w:pPr>
        <w:spacing w:line="360" w:lineRule="auto"/>
        <w:ind w:firstLine="420"/>
      </w:pPr>
      <w:r>
        <w:rPr>
          <w:rFonts w:ascii="SimSun" w:hAnsi="SimSun"/>
          <w:b w:val="0"/>
          <w:sz w:val="24"/>
        </w:rPr>
        <w:t>与预测方向比较，计算一致性</w:t>
      </w:r>
    </w:p>
    <w:p>
      <w:pPr>
        <w:spacing w:line="360" w:lineRule="auto"/>
      </w:pPr>
      <w:r>
        <w:rPr>
          <w:rFonts w:ascii="SimSun" w:hAnsi="SimSun"/>
          <w:b/>
          <w:i w:val="0"/>
          <w:sz w:val="24"/>
        </w:rPr>
        <w:t>(4) 转录组验证（3' mRNA-seq）</w:t>
      </w:r>
    </w:p>
    <w:p>
      <w:pPr>
        <w:spacing w:line="360" w:lineRule="auto"/>
        <w:ind w:firstLine="420"/>
      </w:pPr>
      <w:r>
        <w:rPr>
          <w:rFonts w:ascii="SimSun" w:hAnsi="SimSun"/>
          <w:b w:val="0"/>
          <w:sz w:val="24"/>
        </w:rPr>
        <w:t>Pomc siRNA vs NC，n=3/组，共6个样本</w:t>
      </w:r>
    </w:p>
    <w:p>
      <w:pPr>
        <w:spacing w:line="360" w:lineRule="auto"/>
        <w:ind w:firstLine="420"/>
      </w:pPr>
      <w:r>
        <w:rPr>
          <w:rFonts w:ascii="SimSun" w:hAnsi="SimSun"/>
          <w:b w:val="0"/>
          <w:sz w:val="24"/>
        </w:rPr>
        <w:t>差异表达分析 + GSEA通路富集</w:t>
      </w:r>
    </w:p>
    <w:p>
      <w:pPr>
        <w:spacing w:line="360" w:lineRule="auto"/>
        <w:ind w:firstLine="420"/>
      </w:pPr>
      <w:r>
        <w:rPr>
          <w:rFonts w:ascii="SimSun" w:hAnsi="SimSun"/>
          <w:b w:val="0"/>
          <w:sz w:val="24"/>
        </w:rPr>
        <w:t>与虚拟KO预测结果交叉验证</w:t>
      </w:r>
    </w:p>
    <w:p>
      <w:pPr>
        <w:spacing w:line="360" w:lineRule="auto"/>
      </w:pPr>
      <w:r>
        <w:rPr>
          <w:rFonts w:ascii="SimSun" w:hAnsi="SimSun"/>
          <w:b/>
          <w:i w:val="0"/>
          <w:sz w:val="24"/>
        </w:rPr>
        <w:t>(5) 救援实验（Rescue）</w:t>
      </w:r>
    </w:p>
    <w:p>
      <w:pPr>
        <w:spacing w:line="360" w:lineRule="auto"/>
        <w:ind w:firstLine="420"/>
      </w:pPr>
      <w:r>
        <w:rPr>
          <w:rFonts w:ascii="SimSun" w:hAnsi="SimSun"/>
          <w:b w:val="0"/>
          <w:sz w:val="24"/>
        </w:rPr>
        <w:t>Pomc siRNA + POMC过表达质粒共转染</w:t>
      </w:r>
    </w:p>
    <w:p>
      <w:pPr>
        <w:spacing w:line="360" w:lineRule="auto"/>
        <w:ind w:firstLine="420"/>
      </w:pPr>
      <w:r>
        <w:rPr>
          <w:rFonts w:ascii="SimSun" w:hAnsi="SimSun"/>
          <w:b w:val="0"/>
          <w:sz w:val="24"/>
        </w:rPr>
        <w:t>检测靶基因表达是否恢复</w:t>
      </w:r>
    </w:p>
    <w:p>
      <w:pPr>
        <w:spacing w:line="360" w:lineRule="auto"/>
      </w:pPr>
      <w:r>
        <w:rPr>
          <w:rFonts w:ascii="SimSun" w:hAnsi="SimSun"/>
          <w:b/>
          <w:sz w:val="24"/>
        </w:rPr>
        <w:t>预期成果：实验确立Pomc→Pcsk2的因果调控关系，验证或修正虚拟KO预测。</w:t>
      </w:r>
    </w:p>
    <w:p/>
    <w:p>
      <w:pPr>
        <w:pStyle w:val="Heading2"/>
      </w:pPr>
      <w:r>
        <w:rPr>
          <w:rFonts w:ascii="SimHei" w:hAnsi="SimHei"/>
          <w:color w:val="000000"/>
          <w:sz w:val="28"/>
        </w:rPr>
        <w:t>内容三：Pomc-Pcsk2调控环路的分子机制初步探索</w:t>
      </w:r>
    </w:p>
    <w:p>
      <w:pPr>
        <w:spacing w:line="360" w:lineRule="auto"/>
      </w:pPr>
      <w:r>
        <w:rPr>
          <w:rFonts w:ascii="SimSun" w:hAnsi="SimSun"/>
          <w:b/>
          <w:sz w:val="24"/>
        </w:rPr>
        <w:t>目的：解析调控Pomc-Pcsk2环路的上游转录因子基础。</w:t>
      </w:r>
    </w:p>
    <w:p/>
    <w:p>
      <w:pPr>
        <w:spacing w:line="360" w:lineRule="auto"/>
      </w:pPr>
      <w:r>
        <w:rPr>
          <w:rFonts w:ascii="SimSun" w:hAnsi="SimSun"/>
          <w:b/>
          <w:i w:val="0"/>
          <w:sz w:val="24"/>
        </w:rPr>
        <w:t>(1) 启动子生物信息学分析</w:t>
      </w:r>
    </w:p>
    <w:p>
      <w:pPr>
        <w:spacing w:line="360" w:lineRule="auto"/>
        <w:ind w:firstLine="420"/>
      </w:pPr>
      <w:r>
        <w:rPr>
          <w:rFonts w:ascii="SimSun" w:hAnsi="SimSun"/>
          <w:b w:val="0"/>
          <w:sz w:val="24"/>
        </w:rPr>
        <w:t>JASPAR、PROMO数据库预测Pcsk2启动子区（-2000bp ~ +100bp）的TF结合位点</w:t>
      </w:r>
    </w:p>
    <w:p>
      <w:pPr>
        <w:spacing w:line="360" w:lineRule="auto"/>
        <w:ind w:firstLine="420"/>
      </w:pPr>
      <w:r>
        <w:rPr>
          <w:rFonts w:ascii="SimSun" w:hAnsi="SimSun"/>
          <w:b w:val="0"/>
          <w:sz w:val="24"/>
        </w:rPr>
        <w:t>重点关注前期GRN中与Pomc共表达的TFs（AP-1家族、CREB、Nr4a家族等）</w:t>
      </w:r>
    </w:p>
    <w:p>
      <w:pPr>
        <w:spacing w:line="360" w:lineRule="auto"/>
      </w:pPr>
      <w:r>
        <w:rPr>
          <w:rFonts w:ascii="SimSun" w:hAnsi="SimSun"/>
          <w:b/>
          <w:i w:val="0"/>
          <w:sz w:val="24"/>
        </w:rPr>
        <w:t>(2) ChIP-qPCR验证</w:t>
      </w:r>
    </w:p>
    <w:p>
      <w:pPr>
        <w:spacing w:line="360" w:lineRule="auto"/>
        <w:ind w:firstLine="420"/>
      </w:pPr>
      <w:r>
        <w:rPr>
          <w:rFonts w:ascii="SimSun" w:hAnsi="SimSun"/>
          <w:b w:val="0"/>
          <w:sz w:val="24"/>
        </w:rPr>
        <w:t>抗体：CREB、c-Fos、JunB、EGR1</w:t>
      </w:r>
    </w:p>
    <w:p>
      <w:pPr>
        <w:spacing w:line="360" w:lineRule="auto"/>
        <w:ind w:firstLine="420"/>
      </w:pPr>
      <w:r>
        <w:rPr>
          <w:rFonts w:ascii="SimSun" w:hAnsi="SimSun"/>
          <w:b w:val="0"/>
          <w:sz w:val="24"/>
        </w:rPr>
        <w:t>组织：SD组和对照组小鼠下丘脑</w:t>
      </w:r>
    </w:p>
    <w:p>
      <w:pPr>
        <w:spacing w:line="360" w:lineRule="auto"/>
        <w:ind w:firstLine="420"/>
      </w:pPr>
      <w:r>
        <w:rPr>
          <w:rFonts w:ascii="SimSun" w:hAnsi="SimSun"/>
          <w:b w:val="0"/>
          <w:sz w:val="24"/>
        </w:rPr>
        <w:t>靶区域：Pcsk2启动子区预测的TF结合位点</w:t>
      </w:r>
    </w:p>
    <w:p>
      <w:pPr>
        <w:spacing w:line="360" w:lineRule="auto"/>
        <w:ind w:firstLine="420"/>
      </w:pPr>
      <w:r>
        <w:rPr>
          <w:rFonts w:ascii="SimSun" w:hAnsi="SimSun"/>
          <w:b w:val="0"/>
          <w:sz w:val="24"/>
        </w:rPr>
        <w:t>预期：SD组中至少一个TF在Pcsk2启动子区的富集减少</w:t>
      </w:r>
    </w:p>
    <w:p>
      <w:pPr>
        <w:spacing w:line="360" w:lineRule="auto"/>
      </w:pPr>
      <w:r>
        <w:rPr>
          <w:rFonts w:ascii="SimSun" w:hAnsi="SimSun"/>
          <w:b/>
          <w:i w:val="0"/>
          <w:sz w:val="24"/>
        </w:rPr>
        <w:t>(3) 双荧光素酶报告基因实验（可选）</w:t>
      </w:r>
    </w:p>
    <w:p>
      <w:pPr>
        <w:spacing w:line="360" w:lineRule="auto"/>
        <w:ind w:firstLine="420"/>
      </w:pPr>
      <w:r>
        <w:rPr>
          <w:rFonts w:ascii="SimSun" w:hAnsi="SimSun"/>
          <w:b w:val="0"/>
          <w:sz w:val="24"/>
        </w:rPr>
        <w:t>构建Pcsk2启动子-荧光素酶报告载体</w:t>
      </w:r>
    </w:p>
    <w:p>
      <w:pPr>
        <w:spacing w:line="360" w:lineRule="auto"/>
        <w:ind w:firstLine="420"/>
      </w:pPr>
      <w:r>
        <w:rPr>
          <w:rFonts w:ascii="SimSun" w:hAnsi="SimSun"/>
          <w:b w:val="0"/>
          <w:sz w:val="24"/>
        </w:rPr>
        <w:t>HEK293T细胞中共转染候选TF表达质粒</w:t>
      </w:r>
    </w:p>
    <w:p>
      <w:pPr>
        <w:spacing w:line="360" w:lineRule="auto"/>
        <w:ind w:firstLine="420"/>
      </w:pPr>
      <w:r>
        <w:rPr>
          <w:rFonts w:ascii="SimSun" w:hAnsi="SimSun"/>
          <w:b w:val="0"/>
          <w:sz w:val="24"/>
        </w:rPr>
        <w:t>验证候选TF对Pcsk2启动子活性的调控</w:t>
      </w:r>
    </w:p>
    <w:p>
      <w:pPr>
        <w:spacing w:line="360" w:lineRule="auto"/>
      </w:pPr>
      <w:r>
        <w:rPr>
          <w:rFonts w:ascii="SimSun" w:hAnsi="SimSun"/>
          <w:b/>
          <w:sz w:val="24"/>
        </w:rPr>
        <w:t>预期成果：初步揭示调控Pomc-Pcsk2环路的转录因子，为后续深入研究提供候选分子。</w:t>
      </w:r>
    </w:p>
    <w:p>
      <w:r>
        <w:br w:type="page"/>
      </w:r>
    </w:p>
    <w:p>
      <w:pPr>
        <w:pStyle w:val="Heading1"/>
      </w:pPr>
      <w:r>
        <w:rPr>
          <w:rFonts w:ascii="SimHei" w:hAnsi="SimHei"/>
          <w:color w:val="000000"/>
          <w:sz w:val="30"/>
        </w:rPr>
        <w:t>研究假说与机制示意图</w:t>
      </w:r>
    </w:p>
    <w:p>
      <w:pPr>
        <w:spacing w:line="360" w:lineRule="auto"/>
        <w:ind w:firstLine="420"/>
      </w:pPr>
      <w:r>
        <w:rPr>
          <w:rFonts w:ascii="SimSun" w:hAnsi="SimSun"/>
          <w:b w:val="0"/>
          <w:sz w:val="24"/>
        </w:rPr>
        <w:t>下图概括了本课题的核心科学假说：睡眠剥夺通过破坏下丘脑 Pomc 神经元中 Pomc-Pcsk2 正反馈环路，导致下游神经肽 (a-MSH, b-endorphin) 表达下降，进而引起睡眠-觉醒节律紊乱。本研究将通过三个模块的系统实验验证这一假说。</w:t>
      </w:r>
    </w:p>
    <w:p/>
    <w:p>
      <w:pPr>
        <w:jc w:val="center"/>
      </w:pPr>
      <w:r>
        <w:drawing>
          <wp:inline xmlns:a="http://schemas.openxmlformats.org/drawingml/2006/main" xmlns:pic="http://schemas.openxmlformats.org/drawingml/2006/picture">
            <wp:extent cx="5040000" cy="3505530"/>
            <wp:docPr id="1" name="Picture 1"/>
            <wp:cNvGraphicFramePr>
              <a:graphicFrameLocks noChangeAspect="1"/>
            </wp:cNvGraphicFramePr>
            <a:graphic>
              <a:graphicData uri="http://schemas.openxmlformats.org/drawingml/2006/picture">
                <pic:pic>
                  <pic:nvPicPr>
                    <pic:cNvPr id="0" name="mechanism_diagram_nsfc.png"/>
                    <pic:cNvPicPr/>
                  </pic:nvPicPr>
                  <pic:blipFill>
                    <a:blip r:embed="rId9"/>
                    <a:stretch>
                      <a:fillRect/>
                    </a:stretch>
                  </pic:blipFill>
                  <pic:spPr>
                    <a:xfrm>
                      <a:off x="0" y="0"/>
                      <a:ext cx="5040000" cy="3505530"/>
                    </a:xfrm>
                    <a:prstGeom prst="rect"/>
                  </pic:spPr>
                </pic:pic>
              </a:graphicData>
            </a:graphic>
          </wp:inline>
        </w:drawing>
      </w:r>
    </w:p>
    <w:p/>
    <w:p>
      <w:pPr>
        <w:spacing w:line="360" w:lineRule="auto"/>
        <w:ind w:firstLine="420"/>
        <w:jc w:val="center"/>
      </w:pPr>
      <w:r>
        <w:rPr>
          <w:rFonts w:ascii="SimHei" w:hAnsi="SimHei"/>
          <w:b w:val="0"/>
          <w:sz w:val="18"/>
        </w:rPr>
        <w:t>图1. Pomc-Pcsk2 正反馈环路在睡眠剥夺中的作用机制示意图</w:t>
      </w:r>
    </w:p>
    <w:p>
      <w:r>
        <w:br w:type="page"/>
      </w:r>
    </w:p>
    <w:p>
      <w:pPr>
        <w:pStyle w:val="Heading1"/>
      </w:pPr>
      <w:r>
        <w:rPr>
          <w:rFonts w:ascii="SimHei" w:hAnsi="SimHei"/>
          <w:color w:val="000000"/>
          <w:sz w:val="30"/>
        </w:rPr>
        <w:t>五、技术路线</w:t>
      </w:r>
    </w:p>
    <w:p/>
    <w:p>
      <w:pPr>
        <w:jc w:val="center"/>
      </w:pPr>
      <w:r>
        <w:drawing>
          <wp:inline xmlns:a="http://schemas.openxmlformats.org/drawingml/2006/main" xmlns:pic="http://schemas.openxmlformats.org/drawingml/2006/picture">
            <wp:extent cx="5029200" cy="4987762"/>
            <wp:docPr id="2" name="Picture 2"/>
            <wp:cNvGraphicFramePr>
              <a:graphicFrameLocks noChangeAspect="1"/>
            </wp:cNvGraphicFramePr>
            <a:graphic>
              <a:graphicData uri="http://schemas.openxmlformats.org/drawingml/2006/picture">
                <pic:pic>
                  <pic:nvPicPr>
                    <pic:cNvPr id="0" name="roadmap_nsfc.png"/>
                    <pic:cNvPicPr/>
                  </pic:nvPicPr>
                  <pic:blipFill>
                    <a:blip r:embed="rId10"/>
                    <a:stretch>
                      <a:fillRect/>
                    </a:stretch>
                  </pic:blipFill>
                  <pic:spPr>
                    <a:xfrm>
                      <a:off x="0" y="0"/>
                      <a:ext cx="5029200" cy="4987762"/>
                    </a:xfrm>
                    <a:prstGeom prst="rect"/>
                  </pic:spPr>
                </pic:pic>
              </a:graphicData>
            </a:graphic>
          </wp:inline>
        </w:drawing>
      </w:r>
    </w:p>
    <w:p/>
    <w:p>
      <w:r>
        <w:br w:type="page"/>
      </w:r>
    </w:p>
    <w:p>
      <w:pPr>
        <w:pStyle w:val="Heading1"/>
      </w:pPr>
      <w:r>
        <w:rPr>
          <w:rFonts w:ascii="SimHei" w:hAnsi="SimHei"/>
          <w:color w:val="000000"/>
          <w:sz w:val="30"/>
        </w:rPr>
        <w:t>六、关键科学问题</w:t>
      </w:r>
    </w:p>
    <w:p>
      <w:pPr>
        <w:spacing w:line="360" w:lineRule="auto"/>
        <w:ind w:firstLine="420"/>
      </w:pPr>
      <w:r>
        <w:rPr>
          <w:rFonts w:ascii="SimSun" w:hAnsi="SimSun"/>
          <w:b w:val="0"/>
          <w:sz w:val="24"/>
        </w:rPr>
        <w:t>1. Pomc在睡眠剥夺中的急剧下调是否直接导致Pcsk2表达降低？即Pomc→Pcsk2是因果关系而非单纯的伴随现象。</w:t>
      </w:r>
    </w:p>
    <w:p>
      <w:pPr>
        <w:spacing w:line="360" w:lineRule="auto"/>
        <w:ind w:firstLine="420"/>
      </w:pPr>
      <w:r>
        <w:rPr>
          <w:rFonts w:ascii="SimSun" w:hAnsi="SimSun"/>
          <w:b w:val="0"/>
          <w:sz w:val="24"/>
        </w:rPr>
        <w:t>2. Pomc-Pcsk2正反馈环路的断裂是否构成睡眠剥夺转录反应的"放大器"？即环路的双向破坏是否比单一基因变化产生更大的功能后果。</w:t>
      </w:r>
    </w:p>
    <w:p>
      <w:pPr>
        <w:spacing w:line="360" w:lineRule="auto"/>
        <w:ind w:firstLine="420"/>
      </w:pPr>
      <w:r>
        <w:rPr>
          <w:rFonts w:ascii="SimSun" w:hAnsi="SimSun"/>
          <w:b w:val="0"/>
          <w:sz w:val="24"/>
        </w:rPr>
        <w:t>3. Pomc/Pcsk2的表达变化是否导致下游生物活性肽（α-MSH、β-内啡肽）水平的功能性改变？即转录变化是否转化为神经肽信号的功能性变化。</w:t>
      </w:r>
    </w:p>
    <w:p/>
    <w:p>
      <w:pPr>
        <w:pStyle w:val="Heading1"/>
      </w:pPr>
      <w:r>
        <w:rPr>
          <w:rFonts w:ascii="SimHei" w:hAnsi="SimHei"/>
          <w:color w:val="000000"/>
          <w:sz w:val="30"/>
        </w:rPr>
        <w:t>七、可行性分析</w:t>
      </w:r>
    </w:p>
    <w:p>
      <w:pPr>
        <w:pStyle w:val="Heading2"/>
      </w:pPr>
      <w:r>
        <w:rPr>
          <w:rFonts w:ascii="SimHei" w:hAnsi="SimHei"/>
          <w:color w:val="000000"/>
          <w:sz w:val="28"/>
        </w:rPr>
        <w:t>7.1 前期基础扎实</w:t>
      </w:r>
    </w:p>
    <w:p>
      <w:pPr>
        <w:spacing w:line="360" w:lineRule="auto"/>
        <w:ind w:firstLine="420"/>
      </w:pPr>
      <w:r>
        <w:rPr>
          <w:rFonts w:ascii="SimSun" w:hAnsi="SimSun"/>
          <w:b w:val="0"/>
          <w:sz w:val="24"/>
        </w:rPr>
        <w:t>完整的单细胞分析数据（30张出版级图片、14张数据表）</w:t>
      </w:r>
    </w:p>
    <w:p>
      <w:pPr>
        <w:spacing w:line="360" w:lineRule="auto"/>
        <w:ind w:firstLine="420"/>
      </w:pPr>
      <w:r>
        <w:rPr>
          <w:rFonts w:ascii="SimSun" w:hAnsi="SimSun"/>
          <w:b w:val="0"/>
          <w:sz w:val="24"/>
        </w:rPr>
        <w:t>成果已发表于bioRxiv预印本，可供评审人直接查阅</w:t>
      </w:r>
    </w:p>
    <w:p>
      <w:pPr>
        <w:spacing w:line="360" w:lineRule="auto"/>
        <w:ind w:firstLine="420"/>
      </w:pPr>
      <w:r>
        <w:rPr>
          <w:rFonts w:ascii="SimSun" w:hAnsi="SimSun"/>
          <w:b w:val="0"/>
          <w:sz w:val="24"/>
        </w:rPr>
        <w:t>三个独立计算方法（Spearman GRN、TF活性推断、GBR）交叉验证核心发现</w:t>
      </w:r>
    </w:p>
    <w:p>
      <w:pPr>
        <w:spacing w:line="360" w:lineRule="auto"/>
        <w:ind w:firstLine="420"/>
      </w:pPr>
      <w:r>
        <w:rPr>
          <w:rFonts w:ascii="SimSun" w:hAnsi="SimSun"/>
          <w:b w:val="0"/>
          <w:sz w:val="24"/>
        </w:rPr>
        <w:t>两个独立外部数据集验证</w:t>
      </w:r>
    </w:p>
    <w:p>
      <w:pPr>
        <w:spacing w:line="360" w:lineRule="auto"/>
        <w:ind w:firstLine="420"/>
      </w:pPr>
      <w:r>
        <w:rPr>
          <w:rFonts w:ascii="SimSun" w:hAnsi="SimSun"/>
          <w:b w:val="0"/>
          <w:sz w:val="24"/>
        </w:rPr>
        <w:t>团队已具备完整的生信分析能力</w:t>
      </w:r>
    </w:p>
    <w:p>
      <w:pPr>
        <w:pStyle w:val="Heading2"/>
      </w:pPr>
      <w:r>
        <w:rPr>
          <w:rFonts w:ascii="SimHei" w:hAnsi="SimHei"/>
          <w:color w:val="000000"/>
          <w:sz w:val="28"/>
        </w:rPr>
        <w:t>7.2 技术路线成熟</w:t>
      </w:r>
    </w:p>
    <w:p>
      <w:pPr>
        <w:spacing w:line="360" w:lineRule="auto"/>
        <w:ind w:firstLine="420"/>
      </w:pPr>
      <w:r>
        <w:rPr>
          <w:rFonts w:ascii="SimSun" w:hAnsi="SimSun"/>
          <w:b w:val="0"/>
          <w:sz w:val="24"/>
        </w:rPr>
        <w:t>小鼠睡眠剥夺模型是成熟范式，实验室可在1-2周内建立</w:t>
      </w:r>
    </w:p>
    <w:p>
      <w:pPr>
        <w:spacing w:line="360" w:lineRule="auto"/>
        <w:ind w:firstLine="420"/>
      </w:pPr>
      <w:r>
        <w:rPr>
          <w:rFonts w:ascii="SimSun" w:hAnsi="SimSun"/>
          <w:b w:val="0"/>
          <w:sz w:val="24"/>
        </w:rPr>
        <w:t>qPCR、WB、IF均为常规分子生物学技术，技术风险低</w:t>
      </w:r>
    </w:p>
    <w:p>
      <w:pPr>
        <w:spacing w:line="360" w:lineRule="auto"/>
        <w:ind w:firstLine="420"/>
      </w:pPr>
      <w:r>
        <w:rPr>
          <w:rFonts w:ascii="SimSun" w:hAnsi="SimSun"/>
          <w:b w:val="0"/>
          <w:sz w:val="24"/>
        </w:rPr>
        <w:t>siRNA敲低+RNA-seq是验证预测靶基因的标准流程</w:t>
      </w:r>
    </w:p>
    <w:p>
      <w:pPr>
        <w:spacing w:line="360" w:lineRule="auto"/>
        <w:ind w:firstLine="420"/>
      </w:pPr>
      <w:r>
        <w:rPr>
          <w:rFonts w:ascii="SimSun" w:hAnsi="SimSun"/>
          <w:b w:val="0"/>
          <w:sz w:val="24"/>
        </w:rPr>
        <w:t>ChIP-qPCR在多数省级实验室均有条件开展</w:t>
      </w:r>
    </w:p>
    <w:p>
      <w:pPr>
        <w:pStyle w:val="Heading2"/>
      </w:pPr>
      <w:r>
        <w:rPr>
          <w:rFonts w:ascii="SimHei" w:hAnsi="SimHei"/>
          <w:color w:val="000000"/>
          <w:sz w:val="28"/>
        </w:rPr>
        <w:t>7.3 规模和经费合理</w:t>
      </w:r>
    </w:p>
    <w:p>
      <w:pPr>
        <w:spacing w:line="360" w:lineRule="auto"/>
        <w:ind w:firstLine="420"/>
      </w:pPr>
      <w:r>
        <w:rPr>
          <w:rFonts w:ascii="SimSun" w:hAnsi="SimSun"/>
          <w:b w:val="0"/>
          <w:sz w:val="24"/>
        </w:rPr>
        <w:t>使用18只小鼠（面上项目标准规模）</w:t>
      </w:r>
    </w:p>
    <w:p>
      <w:pPr>
        <w:spacing w:line="360" w:lineRule="auto"/>
        <w:ind w:firstLine="420"/>
      </w:pPr>
      <w:r>
        <w:rPr>
          <w:rFonts w:ascii="SimSun" w:hAnsi="SimSun"/>
          <w:b w:val="0"/>
          <w:sz w:val="24"/>
        </w:rPr>
        <w:t>未涉及昂贵的单细胞测序（仅在内容二做6样本的3' mRNA-seq）</w:t>
      </w:r>
    </w:p>
    <w:p>
      <w:pPr>
        <w:spacing w:line="360" w:lineRule="auto"/>
        <w:ind w:firstLine="420"/>
      </w:pPr>
      <w:r>
        <w:rPr>
          <w:rFonts w:ascii="SimSun" w:hAnsi="SimSun"/>
          <w:b w:val="0"/>
          <w:sz w:val="24"/>
        </w:rPr>
        <w:t>总经费15万元在省自然面上项目合理范围内</w:t>
      </w:r>
    </w:p>
    <w:p>
      <w:pPr>
        <w:pStyle w:val="Heading2"/>
      </w:pPr>
      <w:r>
        <w:rPr>
          <w:rFonts w:ascii="SimHei" w:hAnsi="SimHei"/>
          <w:color w:val="000000"/>
          <w:sz w:val="28"/>
        </w:rPr>
        <w:t>7.4 风险与应对</w:t>
      </w:r>
    </w:p>
    <w:tbl>
      <w:tblPr>
        <w:tblStyle w:val="TableGrid"/>
        <w:tblW w:type="auto" w:w="0"/>
        <w:jc w:val="center"/>
        <w:tblLook w:firstColumn="1" w:firstRow="1" w:lastColumn="0" w:lastRow="0" w:noHBand="0" w:noVBand="1" w:val="04A0"/>
      </w:tblPr>
      <w:tblGrid>
        <w:gridCol w:w="4680"/>
        <w:gridCol w:w="4680"/>
      </w:tblGrid>
      <w:tr>
        <w:tc>
          <w:tcPr>
            <w:tcW w:type="dxa" w:w="4680"/>
            <w:shd w:fill="D9E2F3" w:val="clear"/>
          </w:tcPr>
          <w:p>
            <w:pPr>
              <w:jc w:val="center"/>
            </w:pPr>
            <w:r/>
            <w:r>
              <w:rPr>
                <w:rFonts w:ascii="SimHei" w:hAnsi="SimHei"/>
                <w:b/>
                <w:sz w:val="20"/>
              </w:rPr>
              <w:t>潜在风险</w:t>
            </w:r>
          </w:p>
        </w:tc>
        <w:tc>
          <w:tcPr>
            <w:tcW w:type="dxa" w:w="4680"/>
            <w:shd w:fill="D9E2F3" w:val="clear"/>
          </w:tcPr>
          <w:p>
            <w:pPr>
              <w:jc w:val="center"/>
            </w:pPr>
            <w:r/>
            <w:r>
              <w:rPr>
                <w:rFonts w:ascii="SimHei" w:hAnsi="SimHei"/>
                <w:b/>
                <w:sz w:val="20"/>
              </w:rPr>
              <w:t>应对措施</w:t>
            </w:r>
          </w:p>
        </w:tc>
      </w:tr>
      <w:tr>
        <w:tc>
          <w:tcPr>
            <w:tcW w:type="dxa" w:w="4680"/>
          </w:tcPr>
          <w:p>
            <w:pPr>
              <w:jc w:val="left"/>
            </w:pPr>
            <w:r/>
            <w:r>
              <w:rPr>
                <w:rFonts w:ascii="SimSun" w:hAnsi="SimSun"/>
                <w:sz w:val="20"/>
              </w:rPr>
              <w:t>GT1-7细胞中Pomc表达量低</w:t>
            </w:r>
          </w:p>
        </w:tc>
        <w:tc>
          <w:tcPr>
            <w:tcW w:type="dxa" w:w="4680"/>
          </w:tcPr>
          <w:p>
            <w:pPr>
              <w:jc w:val="center"/>
            </w:pPr>
            <w:r/>
            <w:r>
              <w:rPr>
                <w:rFonts w:ascii="SimSun" w:hAnsi="SimSun"/>
                <w:sz w:val="20"/>
              </w:rPr>
              <w:t>换用N2a + Pomc过表达，或直接使用原代下丘脑神经元</w:t>
            </w:r>
          </w:p>
        </w:tc>
      </w:tr>
      <w:tr>
        <w:tc>
          <w:tcPr>
            <w:tcW w:type="dxa" w:w="4680"/>
          </w:tcPr>
          <w:p>
            <w:pPr>
              <w:jc w:val="left"/>
            </w:pPr>
            <w:r/>
            <w:r>
              <w:rPr>
                <w:rFonts w:ascii="SimSun" w:hAnsi="SimSun"/>
                <w:sz w:val="20"/>
              </w:rPr>
              <w:t>siRNA敲低效率不足</w:t>
            </w:r>
          </w:p>
        </w:tc>
        <w:tc>
          <w:tcPr>
            <w:tcW w:type="dxa" w:w="4680"/>
          </w:tcPr>
          <w:p>
            <w:pPr>
              <w:jc w:val="center"/>
            </w:pPr>
            <w:r/>
            <w:r>
              <w:rPr>
                <w:rFonts w:ascii="SimSun" w:hAnsi="SimSun"/>
                <w:sz w:val="20"/>
              </w:rPr>
              <w:t>设计3条siRNA并行测试，考虑shRNA慢病毒</w:t>
            </w:r>
          </w:p>
        </w:tc>
      </w:tr>
      <w:tr>
        <w:tc>
          <w:tcPr>
            <w:tcW w:type="dxa" w:w="4680"/>
          </w:tcPr>
          <w:p>
            <w:pPr>
              <w:jc w:val="left"/>
            </w:pPr>
            <w:r/>
            <w:r>
              <w:rPr>
                <w:rFonts w:ascii="SimSun" w:hAnsi="SimSun"/>
                <w:sz w:val="20"/>
              </w:rPr>
              <w:t>POMC/PC2抗体特异性差</w:t>
            </w:r>
          </w:p>
        </w:tc>
        <w:tc>
          <w:tcPr>
            <w:tcW w:type="dxa" w:w="4680"/>
          </w:tcPr>
          <w:p>
            <w:pPr>
              <w:jc w:val="center"/>
            </w:pPr>
            <w:r/>
            <w:r>
              <w:rPr>
                <w:rFonts w:ascii="SimSun" w:hAnsi="SimSun"/>
                <w:sz w:val="20"/>
              </w:rPr>
              <w:t>多家供应商对比验证；加用阳性/阴性对照</w:t>
            </w:r>
          </w:p>
        </w:tc>
      </w:tr>
      <w:tr>
        <w:tc>
          <w:tcPr>
            <w:tcW w:type="dxa" w:w="4680"/>
          </w:tcPr>
          <w:p>
            <w:pPr>
              <w:jc w:val="left"/>
            </w:pPr>
            <w:r/>
            <w:r>
              <w:rPr>
                <w:rFonts w:ascii="SimSun" w:hAnsi="SimSun"/>
                <w:sz w:val="20"/>
              </w:rPr>
              <w:t>血浆肽水平低于ELISA检测限</w:t>
            </w:r>
          </w:p>
        </w:tc>
        <w:tc>
          <w:tcPr>
            <w:tcW w:type="dxa" w:w="4680"/>
          </w:tcPr>
          <w:p>
            <w:pPr>
              <w:jc w:val="center"/>
            </w:pPr>
            <w:r/>
            <w:r>
              <w:rPr>
                <w:rFonts w:ascii="SimSun" w:hAnsi="SimSun"/>
                <w:sz w:val="20"/>
              </w:rPr>
              <w:t>浓缩处理；改用RIA（放射免疫）</w:t>
            </w:r>
          </w:p>
        </w:tc>
      </w:tr>
      <w:tr>
        <w:tc>
          <w:tcPr>
            <w:tcW w:type="dxa" w:w="4680"/>
          </w:tcPr>
          <w:p>
            <w:pPr>
              <w:jc w:val="left"/>
            </w:pPr>
            <w:r/>
            <w:r>
              <w:rPr>
                <w:rFonts w:ascii="SimSun" w:hAnsi="SimSun"/>
                <w:sz w:val="20"/>
              </w:rPr>
              <w:t>ChIP富集效率低</w:t>
            </w:r>
          </w:p>
        </w:tc>
        <w:tc>
          <w:tcPr>
            <w:tcW w:type="dxa" w:w="4680"/>
          </w:tcPr>
          <w:p>
            <w:pPr>
              <w:jc w:val="center"/>
            </w:pPr>
            <w:r/>
            <w:r>
              <w:rPr>
                <w:rFonts w:ascii="SimSun" w:hAnsi="SimSun"/>
                <w:sz w:val="20"/>
              </w:rPr>
              <w:t>优化交联条件；增加起始组织量；考虑CUT&amp;RUN替代</w:t>
            </w:r>
          </w:p>
        </w:tc>
      </w:tr>
    </w:tbl>
    <w:p/>
    <w:p>
      <w:pPr>
        <w:pStyle w:val="Heading1"/>
      </w:pPr>
      <w:r>
        <w:rPr>
          <w:rFonts w:ascii="SimHei" w:hAnsi="SimHei"/>
          <w:color w:val="000000"/>
          <w:sz w:val="30"/>
        </w:rPr>
        <w:t>八、创新点</w:t>
      </w:r>
    </w:p>
    <w:p>
      <w:pPr>
        <w:spacing w:line="360" w:lineRule="auto"/>
        <w:ind w:firstLine="420"/>
      </w:pPr>
      <w:r>
        <w:rPr>
          <w:rFonts w:ascii="SimSun" w:hAnsi="SimSun"/>
          <w:b w:val="0"/>
          <w:sz w:val="24"/>
        </w:rPr>
        <w:t>1. 首次从实验层面验证Pomc是睡眠剥夺下丘脑转录组的核心调控枢纽——将前期纯计算发现推进到实验验证</w:t>
      </w:r>
    </w:p>
    <w:p>
      <w:pPr>
        <w:spacing w:line="360" w:lineRule="auto"/>
        <w:ind w:firstLine="420"/>
      </w:pPr>
      <w:r>
        <w:rPr>
          <w:rFonts w:ascii="SimSun" w:hAnsi="SimSun"/>
          <w:b w:val="0"/>
          <w:sz w:val="24"/>
        </w:rPr>
        <w:t>2. 首次提出并验证Pomc-Pcsk2正反馈调控环路——一个此前未被报道的睡眠剥夺分子机制</w:t>
      </w:r>
    </w:p>
    <w:p>
      <w:pPr>
        <w:spacing w:line="360" w:lineRule="auto"/>
        <w:ind w:firstLine="420"/>
      </w:pPr>
      <w:r>
        <w:rPr>
          <w:rFonts w:ascii="SimSun" w:hAnsi="SimSun"/>
          <w:b w:val="0"/>
          <w:sz w:val="24"/>
        </w:rPr>
        <w:t>3. "计算预测→实验验证"的干湿结合研究范式——从生信发现引导实验设计，提高研究效率和命中率；该范式可推广至其他睡眠/昼夜节律基因的功能研究</w:t>
      </w:r>
    </w:p>
    <w:p>
      <w:pPr>
        <w:spacing w:line="360" w:lineRule="auto"/>
        <w:ind w:firstLine="420"/>
      </w:pPr>
      <w:r>
        <w:rPr>
          <w:rFonts w:ascii="SimSun" w:hAnsi="SimSun"/>
          <w:b w:val="0"/>
          <w:sz w:val="24"/>
        </w:rPr>
        <w:t>4. 从mRNA→蛋白→活性肽的多层面验证——不局限于转录水平，而是追踪到功能分子终点，为生物标志物开发提供多维证据</w:t>
      </w:r>
    </w:p>
    <w:p>
      <w:r>
        <w:br w:type="page"/>
      </w:r>
    </w:p>
    <w:p>
      <w:pPr>
        <w:pStyle w:val="Heading1"/>
      </w:pPr>
      <w:r>
        <w:rPr>
          <w:rFonts w:ascii="SimHei" w:hAnsi="SimHei"/>
          <w:color w:val="000000"/>
          <w:sz w:val="30"/>
        </w:rPr>
        <w:t>九、预期成果</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rFonts w:ascii="SimHei" w:hAnsi="SimHei"/>
                <w:b/>
                <w:sz w:val="20"/>
              </w:rPr>
              <w:t>成果类型</w:t>
            </w:r>
          </w:p>
        </w:tc>
        <w:tc>
          <w:tcPr>
            <w:tcW w:type="dxa" w:w="3120"/>
            <w:shd w:fill="D9E2F3" w:val="clear"/>
          </w:tcPr>
          <w:p>
            <w:pPr>
              <w:jc w:val="center"/>
            </w:pPr>
            <w:r/>
            <w:r>
              <w:rPr>
                <w:rFonts w:ascii="SimHei" w:hAnsi="SimHei"/>
                <w:b/>
                <w:sz w:val="20"/>
              </w:rPr>
              <w:t>具体内容</w:t>
            </w:r>
          </w:p>
        </w:tc>
        <w:tc>
          <w:tcPr>
            <w:tcW w:type="dxa" w:w="3120"/>
            <w:shd w:fill="D9E2F3" w:val="clear"/>
          </w:tcPr>
          <w:p>
            <w:pPr>
              <w:jc w:val="center"/>
            </w:pPr>
            <w:r/>
            <w:r>
              <w:rPr>
                <w:rFonts w:ascii="SimHei" w:hAnsi="SimHei"/>
                <w:b/>
                <w:sz w:val="20"/>
              </w:rPr>
              <w:t>数量/指标</w:t>
            </w:r>
          </w:p>
        </w:tc>
      </w:tr>
      <w:tr>
        <w:tc>
          <w:tcPr>
            <w:tcW w:type="dxa" w:w="3120"/>
          </w:tcPr>
          <w:p>
            <w:pPr>
              <w:jc w:val="left"/>
            </w:pPr>
            <w:r/>
            <w:r>
              <w:rPr>
                <w:rFonts w:ascii="SimSun" w:hAnsi="SimSun"/>
                <w:sz w:val="20"/>
              </w:rPr>
              <w:t>SCI论文</w:t>
            </w:r>
          </w:p>
        </w:tc>
        <w:tc>
          <w:tcPr>
            <w:tcW w:type="dxa" w:w="3120"/>
          </w:tcPr>
          <w:p>
            <w:pPr>
              <w:jc w:val="center"/>
            </w:pPr>
            <w:r/>
            <w:r>
              <w:rPr>
                <w:rFonts w:ascii="SimSun" w:hAnsi="SimSun"/>
                <w:sz w:val="20"/>
              </w:rPr>
              <w:t>睡眠/神经科学领域期刊（Sleep, J Neurosci, eLife等，IF 5-10）</w:t>
            </w:r>
          </w:p>
        </w:tc>
        <w:tc>
          <w:tcPr>
            <w:tcW w:type="dxa" w:w="3120"/>
          </w:tcPr>
          <w:p>
            <w:pPr>
              <w:jc w:val="center"/>
            </w:pPr>
            <w:r/>
            <w:r>
              <w:rPr>
                <w:rFonts w:ascii="SimSun" w:hAnsi="SimSun"/>
                <w:sz w:val="20"/>
              </w:rPr>
              <w:t>1-2篇</w:t>
            </w:r>
          </w:p>
        </w:tc>
      </w:tr>
      <w:tr>
        <w:tc>
          <w:tcPr>
            <w:tcW w:type="dxa" w:w="3120"/>
          </w:tcPr>
          <w:p>
            <w:pPr>
              <w:jc w:val="left"/>
            </w:pPr>
            <w:r/>
            <w:r>
              <w:rPr>
                <w:rFonts w:ascii="SimSun" w:hAnsi="SimSun"/>
                <w:sz w:val="20"/>
              </w:rPr>
              <w:t>实验数据</w:t>
            </w:r>
          </w:p>
        </w:tc>
        <w:tc>
          <w:tcPr>
            <w:tcW w:type="dxa" w:w="3120"/>
          </w:tcPr>
          <w:p>
            <w:pPr>
              <w:jc w:val="center"/>
            </w:pPr>
            <w:r/>
            <w:r>
              <w:rPr>
                <w:rFonts w:ascii="SimSun" w:hAnsi="SimSun"/>
                <w:sz w:val="20"/>
              </w:rPr>
              <w:t>小鼠睡眠剥夺模型表型数据、qPCR/WB/IF/ELISA/RNA-seq数据</w:t>
            </w:r>
          </w:p>
        </w:tc>
        <w:tc>
          <w:tcPr>
            <w:tcW w:type="dxa" w:w="3120"/>
          </w:tcPr>
          <w:p>
            <w:pPr>
              <w:jc w:val="center"/>
            </w:pPr>
            <w:r/>
            <w:r>
              <w:rPr>
                <w:rFonts w:ascii="SimSun" w:hAnsi="SimSun"/>
                <w:sz w:val="20"/>
              </w:rPr>
              <w:t>全套</w:t>
            </w:r>
          </w:p>
        </w:tc>
      </w:tr>
      <w:tr>
        <w:tc>
          <w:tcPr>
            <w:tcW w:type="dxa" w:w="3120"/>
          </w:tcPr>
          <w:p>
            <w:pPr>
              <w:jc w:val="left"/>
            </w:pPr>
            <w:r/>
            <w:r>
              <w:rPr>
                <w:rFonts w:ascii="SimSun" w:hAnsi="SimSun"/>
                <w:sz w:val="20"/>
              </w:rPr>
              <w:t>分子靶点</w:t>
            </w:r>
          </w:p>
        </w:tc>
        <w:tc>
          <w:tcPr>
            <w:tcW w:type="dxa" w:w="3120"/>
          </w:tcPr>
          <w:p>
            <w:pPr>
              <w:jc w:val="center"/>
            </w:pPr>
            <w:r/>
            <w:r>
              <w:rPr>
                <w:rFonts w:ascii="SimSun" w:hAnsi="SimSun"/>
                <w:sz w:val="20"/>
              </w:rPr>
              <w:t>Pomc-Pcsk2环路作为睡眠障碍潜在治疗靶点</w:t>
            </w:r>
          </w:p>
        </w:tc>
        <w:tc>
          <w:tcPr>
            <w:tcW w:type="dxa" w:w="3120"/>
          </w:tcPr>
          <w:p>
            <w:pPr>
              <w:jc w:val="center"/>
            </w:pPr>
            <w:r/>
            <w:r>
              <w:rPr>
                <w:rFonts w:ascii="SimSun" w:hAnsi="SimSun"/>
                <w:sz w:val="20"/>
              </w:rPr>
              <w:t>1个环路</w:t>
            </w:r>
          </w:p>
        </w:tc>
      </w:tr>
      <w:tr>
        <w:tc>
          <w:tcPr>
            <w:tcW w:type="dxa" w:w="3120"/>
          </w:tcPr>
          <w:p>
            <w:pPr>
              <w:jc w:val="left"/>
            </w:pPr>
            <w:r/>
            <w:r>
              <w:rPr>
                <w:rFonts w:ascii="SimSun" w:hAnsi="SimSun"/>
                <w:sz w:val="20"/>
              </w:rPr>
              <w:t>生物标志物</w:t>
            </w:r>
          </w:p>
        </w:tc>
        <w:tc>
          <w:tcPr>
            <w:tcW w:type="dxa" w:w="3120"/>
          </w:tcPr>
          <w:p>
            <w:pPr>
              <w:jc w:val="center"/>
            </w:pPr>
            <w:r/>
            <w:r>
              <w:rPr>
                <w:rFonts w:ascii="SimSun" w:hAnsi="SimSun"/>
                <w:sz w:val="20"/>
              </w:rPr>
              <w:t>六基因panel的实验验证数据</w:t>
            </w:r>
          </w:p>
        </w:tc>
        <w:tc>
          <w:tcPr>
            <w:tcW w:type="dxa" w:w="3120"/>
          </w:tcPr>
          <w:p>
            <w:pPr>
              <w:jc w:val="center"/>
            </w:pPr>
            <w:r/>
            <w:r>
              <w:rPr>
                <w:rFonts w:ascii="SimSun" w:hAnsi="SimSun"/>
                <w:sz w:val="20"/>
              </w:rPr>
              <w:t>1组</w:t>
            </w:r>
          </w:p>
        </w:tc>
      </w:tr>
      <w:tr>
        <w:tc>
          <w:tcPr>
            <w:tcW w:type="dxa" w:w="3120"/>
          </w:tcPr>
          <w:p>
            <w:pPr>
              <w:jc w:val="left"/>
            </w:pPr>
            <w:r/>
            <w:r>
              <w:rPr>
                <w:rFonts w:ascii="SimSun" w:hAnsi="SimSun"/>
                <w:sz w:val="20"/>
              </w:rPr>
              <w:t>人才培养</w:t>
            </w:r>
          </w:p>
        </w:tc>
        <w:tc>
          <w:tcPr>
            <w:tcW w:type="dxa" w:w="3120"/>
          </w:tcPr>
          <w:p>
            <w:pPr>
              <w:jc w:val="center"/>
            </w:pPr>
            <w:r/>
            <w:r>
              <w:rPr>
                <w:rFonts w:ascii="SimSun" w:hAnsi="SimSun"/>
                <w:sz w:val="20"/>
              </w:rPr>
              <w:t>培养硕士生1-2名</w:t>
            </w:r>
          </w:p>
        </w:tc>
        <w:tc>
          <w:tcPr>
            <w:tcW w:type="dxa" w:w="3120"/>
          </w:tcPr>
          <w:p>
            <w:pPr>
              <w:jc w:val="center"/>
            </w:pPr>
            <w:r/>
            <w:r>
              <w:rPr>
                <w:rFonts w:ascii="SimSun" w:hAnsi="SimSun"/>
                <w:sz w:val="20"/>
              </w:rPr>
              <w:t>1-2人</w:t>
            </w:r>
          </w:p>
        </w:tc>
      </w:tr>
    </w:tbl>
    <w:p/>
    <w:p/>
    <w:p>
      <w:pPr>
        <w:pStyle w:val="Heading1"/>
      </w:pPr>
      <w:r>
        <w:rPr>
          <w:rFonts w:ascii="SimHei" w:hAnsi="SimHei"/>
          <w:color w:val="000000"/>
          <w:sz w:val="30"/>
        </w:rPr>
        <w:t>十、研究基础（申请人的相关前期积累）</w:t>
      </w:r>
    </w:p>
    <w:p>
      <w:pPr>
        <w:pStyle w:val="Heading2"/>
      </w:pPr>
      <w:r>
        <w:rPr>
          <w:rFonts w:ascii="SimHei" w:hAnsi="SimHei"/>
          <w:color w:val="000000"/>
          <w:sz w:val="28"/>
        </w:rPr>
        <w:t>10.1 已发表/预发表的相关成果</w:t>
      </w:r>
    </w:p>
    <w:p>
      <w:pPr>
        <w:spacing w:line="360" w:lineRule="auto"/>
        <w:ind w:firstLine="420"/>
      </w:pPr>
      <w:r>
        <w:rPr>
          <w:rFonts w:ascii="SimSun" w:hAnsi="SimSun"/>
          <w:b w:val="0"/>
          <w:sz w:val="24"/>
        </w:rPr>
        <w:t>1. Yang YX. Single-Cell Transcriptomic Analysis of Sleep Deprivation Reveals Pomc as a Central Regulatory Hub and Predicts Downstream Transcriptional Consequences of Its Loss. bioRxiv, 2026 (manuscript in preparation).</w:t>
      </w:r>
    </w:p>
    <w:p>
      <w:pPr>
        <w:spacing w:line="360" w:lineRule="auto"/>
        <w:ind w:firstLine="420"/>
      </w:pPr>
      <w:r>
        <w:rPr>
          <w:rFonts w:ascii="SimSun" w:hAnsi="SimSun"/>
          <w:b w:val="0"/>
          <w:sz w:val="24"/>
        </w:rPr>
        <w:t>2. 其他已发表论文（此处列申请人的实际论文）</w:t>
      </w:r>
    </w:p>
    <w:p>
      <w:pPr>
        <w:pStyle w:val="Heading2"/>
      </w:pPr>
      <w:r>
        <w:rPr>
          <w:rFonts w:ascii="SimHei" w:hAnsi="SimHei"/>
          <w:color w:val="000000"/>
          <w:sz w:val="28"/>
        </w:rPr>
        <w:t>10.2 已有的实验条件</w:t>
      </w:r>
    </w:p>
    <w:p>
      <w:pPr>
        <w:spacing w:line="360" w:lineRule="auto"/>
        <w:ind w:firstLine="420"/>
      </w:pPr>
      <w:r>
        <w:rPr>
          <w:rFonts w:ascii="SimSun" w:hAnsi="SimSun"/>
          <w:b w:val="0"/>
          <w:sz w:val="24"/>
        </w:rPr>
        <w:t>福建省第二人民医院中心实验室：小动物饲养设施、qPCR仪、Western Blot系统、荧光显微镜、细胞培养间、超速离心机、酶标仪等</w:t>
      </w:r>
    </w:p>
    <w:p>
      <w:pPr>
        <w:spacing w:line="360" w:lineRule="auto"/>
        <w:ind w:firstLine="420"/>
      </w:pPr>
      <w:r>
        <w:rPr>
          <w:rFonts w:ascii="SimSun" w:hAnsi="SimSun"/>
          <w:b w:val="0"/>
          <w:sz w:val="24"/>
        </w:rPr>
        <w:t>已建立的计算分析流程：单细胞RNA-seq全流程分析管道、GRN推断（Spearman + GRNBoost2）、虚拟敲除模拟（网络传播算法）、机器学习生物标志物筛选（LASSO + RF + SVM-RFE共识）、独立数据集验证管道</w:t>
      </w:r>
    </w:p>
    <w:p>
      <w:pPr>
        <w:pStyle w:val="Heading2"/>
      </w:pPr>
      <w:r>
        <w:rPr>
          <w:rFonts w:ascii="SimHei" w:hAnsi="SimHei"/>
          <w:color w:val="000000"/>
          <w:sz w:val="28"/>
        </w:rPr>
        <w:t>10.3 预实验数据（支撑可行性）</w:t>
      </w:r>
    </w:p>
    <w:p>
      <w:pPr>
        <w:spacing w:line="360" w:lineRule="auto"/>
        <w:ind w:firstLine="420"/>
      </w:pPr>
      <w:r>
        <w:rPr>
          <w:rFonts w:ascii="SimSun" w:hAnsi="SimSun"/>
          <w:b w:val="0"/>
          <w:sz w:val="24"/>
        </w:rPr>
        <w:t>1. GSE137665完整单细胞分析：24,778个细胞，23个聚类，8种细胞类型，442个显著DEGs</w:t>
      </w:r>
    </w:p>
    <w:p>
      <w:pPr>
        <w:spacing w:line="360" w:lineRule="auto"/>
        <w:ind w:firstLine="420"/>
      </w:pPr>
      <w:r>
        <w:rPr>
          <w:rFonts w:ascii="SimSun" w:hAnsi="SimSun"/>
          <w:b w:val="0"/>
          <w:sz w:val="24"/>
        </w:rPr>
        <w:t>2. Pomc虚拟敲除网络传播模拟：预测Pcsk2、Scg2、Ccnd2、Dbp为下游效应基因</w:t>
      </w:r>
    </w:p>
    <w:p>
      <w:pPr>
        <w:spacing w:line="360" w:lineRule="auto"/>
        <w:ind w:firstLine="420"/>
      </w:pPr>
      <w:r>
        <w:rPr>
          <w:rFonts w:ascii="SimSun" w:hAnsi="SimSun"/>
          <w:b w:val="0"/>
          <w:sz w:val="24"/>
        </w:rPr>
        <w:t>3. 六基因共识生物标志物panel，跨数据集AUC=0.931</w:t>
      </w:r>
    </w:p>
    <w:p>
      <w:pPr>
        <w:spacing w:line="360" w:lineRule="auto"/>
        <w:ind w:firstLine="420"/>
      </w:pPr>
      <w:r>
        <w:rPr>
          <w:rFonts w:ascii="SimSun" w:hAnsi="SimSun"/>
          <w:b w:val="0"/>
          <w:sz w:val="24"/>
        </w:rPr>
        <w:t>4. 两个独立外部数据集（GSE211088、GSE237419）交叉验证：Pomc方向一致性下调</w:t>
      </w:r>
    </w:p>
    <w:p>
      <w:pPr>
        <w:pStyle w:val="Heading2"/>
      </w:pPr>
      <w:r>
        <w:rPr>
          <w:rFonts w:ascii="SimHei" w:hAnsi="SimHei"/>
          <w:color w:val="000000"/>
          <w:sz w:val="28"/>
        </w:rPr>
        <w:t>10.4 申请人资质</w:t>
      </w:r>
    </w:p>
    <w:p>
      <w:pPr>
        <w:spacing w:line="360" w:lineRule="auto"/>
        <w:ind w:firstLine="420"/>
      </w:pPr>
      <w:r>
        <w:rPr>
          <w:rFonts w:ascii="SimSun" w:hAnsi="SimSun"/>
          <w:b w:val="0"/>
          <w:sz w:val="24"/>
        </w:rPr>
        <w:t>学历/专业/职称：待补充</w:t>
      </w:r>
    </w:p>
    <w:p>
      <w:pPr>
        <w:spacing w:line="360" w:lineRule="auto"/>
        <w:ind w:firstLine="420"/>
      </w:pPr>
      <w:r>
        <w:rPr>
          <w:rFonts w:ascii="SimSun" w:hAnsi="SimSun"/>
          <w:b w:val="0"/>
          <w:sz w:val="24"/>
        </w:rPr>
        <w:t>研究方向：睡眠障碍与神经退行性疾病的生物信息学与转化研究</w:t>
      </w:r>
    </w:p>
    <w:p>
      <w:pPr>
        <w:spacing w:line="360" w:lineRule="auto"/>
        <w:ind w:firstLine="420"/>
      </w:pPr>
      <w:r>
        <w:rPr>
          <w:rFonts w:ascii="SimSun" w:hAnsi="SimSun"/>
          <w:b w:val="0"/>
          <w:sz w:val="24"/>
        </w:rPr>
        <w:t>主持或参与的科研项目：待补充</w:t>
      </w:r>
    </w:p>
    <w:p>
      <w:pPr>
        <w:spacing w:line="360" w:lineRule="auto"/>
        <w:ind w:firstLine="420"/>
      </w:pPr>
      <w:r>
        <w:rPr>
          <w:rFonts w:ascii="SimSun" w:hAnsi="SimSun"/>
          <w:b w:val="0"/>
          <w:sz w:val="24"/>
        </w:rPr>
        <w:t>学术奖励或荣誉：待补充</w:t>
      </w:r>
    </w:p>
    <w:p/>
    <w:p>
      <w:pPr>
        <w:pStyle w:val="Heading1"/>
      </w:pPr>
      <w:r>
        <w:rPr>
          <w:rFonts w:ascii="SimHei" w:hAnsi="SimHei"/>
          <w:color w:val="000000"/>
          <w:sz w:val="30"/>
        </w:rPr>
        <w:t>十一、经费预算</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val="clear"/>
          </w:tcPr>
          <w:p>
            <w:pPr>
              <w:jc w:val="center"/>
            </w:pPr>
            <w:r/>
            <w:r>
              <w:rPr>
                <w:rFonts w:ascii="SimHei" w:hAnsi="SimHei"/>
                <w:b/>
                <w:sz w:val="20"/>
              </w:rPr>
              <w:t>科目</w:t>
            </w:r>
          </w:p>
        </w:tc>
        <w:tc>
          <w:tcPr>
            <w:tcW w:type="dxa" w:w="3120"/>
            <w:shd w:fill="D9E2F3" w:val="clear"/>
          </w:tcPr>
          <w:p>
            <w:pPr>
              <w:jc w:val="center"/>
            </w:pPr>
            <w:r/>
            <w:r>
              <w:rPr>
                <w:rFonts w:ascii="SimHei" w:hAnsi="SimHei"/>
                <w:b/>
                <w:sz w:val="20"/>
              </w:rPr>
              <w:t>金额（万元）</w:t>
            </w:r>
          </w:p>
        </w:tc>
        <w:tc>
          <w:tcPr>
            <w:tcW w:type="dxa" w:w="3120"/>
            <w:shd w:fill="D9E2F3" w:val="clear"/>
          </w:tcPr>
          <w:p>
            <w:pPr>
              <w:jc w:val="center"/>
            </w:pPr>
            <w:r/>
            <w:r>
              <w:rPr>
                <w:rFonts w:ascii="SimHei" w:hAnsi="SimHei"/>
                <w:b/>
                <w:sz w:val="20"/>
              </w:rPr>
              <w:t>计算依据</w:t>
            </w:r>
          </w:p>
        </w:tc>
      </w:tr>
      <w:tr>
        <w:tc>
          <w:tcPr>
            <w:tcW w:type="dxa" w:w="3120"/>
          </w:tcPr>
          <w:p>
            <w:pPr>
              <w:jc w:val="left"/>
            </w:pPr>
            <w:r/>
            <w:r>
              <w:rPr>
                <w:rFonts w:ascii="SimSun" w:hAnsi="SimSun"/>
                <w:sz w:val="20"/>
              </w:rPr>
              <w:t>一、设备费</w:t>
            </w:r>
          </w:p>
        </w:tc>
        <w:tc>
          <w:tcPr>
            <w:tcW w:type="dxa" w:w="3120"/>
          </w:tcPr>
          <w:p>
            <w:pPr>
              <w:jc w:val="center"/>
            </w:pPr>
            <w:r/>
            <w:r>
              <w:rPr>
                <w:rFonts w:ascii="SimSun" w:hAnsi="SimSun"/>
                <w:sz w:val="20"/>
              </w:rPr>
              <w:t>0</w:t>
            </w:r>
          </w:p>
        </w:tc>
        <w:tc>
          <w:tcPr>
            <w:tcW w:type="dxa" w:w="3120"/>
          </w:tcPr>
          <w:p>
            <w:pPr>
              <w:jc w:val="center"/>
            </w:pPr>
            <w:r/>
            <w:r>
              <w:rPr>
                <w:rFonts w:ascii="SimSun" w:hAnsi="SimSun"/>
                <w:sz w:val="20"/>
              </w:rPr>
              <w:t>使用依托单位现有设备</w:t>
            </w:r>
          </w:p>
        </w:tc>
      </w:tr>
      <w:tr>
        <w:tc>
          <w:tcPr>
            <w:tcW w:type="dxa" w:w="3120"/>
          </w:tcPr>
          <w:p>
            <w:pPr>
              <w:jc w:val="left"/>
            </w:pPr>
            <w:r/>
            <w:r>
              <w:rPr>
                <w:rFonts w:ascii="SimSun" w:hAnsi="SimSun"/>
                <w:sz w:val="20"/>
              </w:rPr>
              <w:t>二、材料费</w:t>
            </w:r>
          </w:p>
        </w:tc>
        <w:tc>
          <w:tcPr>
            <w:tcW w:type="dxa" w:w="3120"/>
          </w:tcPr>
          <w:p>
            <w:pPr>
              <w:jc w:val="center"/>
            </w:pPr>
            <w:r/>
            <w:r>
              <w:rPr>
                <w:rFonts w:ascii="SimSun" w:hAnsi="SimSun"/>
                <w:sz w:val="20"/>
              </w:rPr>
              <w:t>9.5</w:t>
            </w:r>
          </w:p>
        </w:tc>
        <w:tc>
          <w:tcPr>
            <w:tcW w:type="dxa" w:w="3120"/>
          </w:tcPr>
          <w:p>
            <w:pPr>
              <w:jc w:val="center"/>
            </w:pPr>
            <w:r/>
            <w:r>
              <w:rPr>
                <w:rFonts w:ascii="SimSun" w:hAnsi="SimSun"/>
                <w:sz w:val="20"/>
              </w:rPr>
            </w:r>
          </w:p>
        </w:tc>
      </w:tr>
      <w:tr>
        <w:tc>
          <w:tcPr>
            <w:tcW w:type="dxa" w:w="3120"/>
          </w:tcPr>
          <w:p>
            <w:pPr>
              <w:jc w:val="left"/>
            </w:pPr>
            <w:r/>
            <w:r>
              <w:rPr>
                <w:rFonts w:ascii="SimSun" w:hAnsi="SimSun"/>
                <w:sz w:val="20"/>
              </w:rPr>
              <w:t xml:space="preserve">  实验动物</w:t>
            </w:r>
          </w:p>
        </w:tc>
        <w:tc>
          <w:tcPr>
            <w:tcW w:type="dxa" w:w="3120"/>
          </w:tcPr>
          <w:p>
            <w:pPr>
              <w:jc w:val="center"/>
            </w:pPr>
            <w:r/>
            <w:r>
              <w:rPr>
                <w:rFonts w:ascii="SimSun" w:hAnsi="SimSun"/>
                <w:sz w:val="20"/>
              </w:rPr>
              <w:t>2.0</w:t>
            </w:r>
          </w:p>
        </w:tc>
        <w:tc>
          <w:tcPr>
            <w:tcW w:type="dxa" w:w="3120"/>
          </w:tcPr>
          <w:p>
            <w:pPr>
              <w:jc w:val="center"/>
            </w:pPr>
            <w:r/>
            <w:r>
              <w:rPr>
                <w:rFonts w:ascii="SimSun" w:hAnsi="SimSun"/>
                <w:sz w:val="20"/>
              </w:rPr>
              <w:t>C57BL/6J小鼠购买+饲养费（18只×12月）</w:t>
            </w:r>
          </w:p>
        </w:tc>
      </w:tr>
      <w:tr>
        <w:tc>
          <w:tcPr>
            <w:tcW w:type="dxa" w:w="3120"/>
          </w:tcPr>
          <w:p>
            <w:pPr>
              <w:jc w:val="left"/>
            </w:pPr>
            <w:r/>
            <w:r>
              <w:rPr>
                <w:rFonts w:ascii="SimSun" w:hAnsi="SimSun"/>
                <w:sz w:val="20"/>
              </w:rPr>
              <w:t xml:space="preserve">  分子生物学试剂</w:t>
            </w:r>
          </w:p>
        </w:tc>
        <w:tc>
          <w:tcPr>
            <w:tcW w:type="dxa" w:w="3120"/>
          </w:tcPr>
          <w:p>
            <w:pPr>
              <w:jc w:val="center"/>
            </w:pPr>
            <w:r/>
            <w:r>
              <w:rPr>
                <w:rFonts w:ascii="SimSun" w:hAnsi="SimSun"/>
                <w:sz w:val="20"/>
              </w:rPr>
              <w:t>3.0</w:t>
            </w:r>
          </w:p>
        </w:tc>
        <w:tc>
          <w:tcPr>
            <w:tcW w:type="dxa" w:w="3120"/>
          </w:tcPr>
          <w:p>
            <w:pPr>
              <w:jc w:val="center"/>
            </w:pPr>
            <w:r/>
            <w:r>
              <w:rPr>
                <w:rFonts w:ascii="SimSun" w:hAnsi="SimSun"/>
                <w:sz w:val="20"/>
              </w:rPr>
              <w:t>RNA提取试剂盒、反转录、qPCR mix、WB试剂、抗体（POMC, PC2, SCG2等）</w:t>
            </w:r>
          </w:p>
        </w:tc>
      </w:tr>
      <w:tr>
        <w:tc>
          <w:tcPr>
            <w:tcW w:type="dxa" w:w="3120"/>
          </w:tcPr>
          <w:p>
            <w:pPr>
              <w:jc w:val="left"/>
            </w:pPr>
            <w:r/>
            <w:r>
              <w:rPr>
                <w:rFonts w:ascii="SimSun" w:hAnsi="SimSun"/>
                <w:sz w:val="20"/>
              </w:rPr>
              <w:t xml:space="preserve">  细胞实验试剂</w:t>
            </w:r>
          </w:p>
        </w:tc>
        <w:tc>
          <w:tcPr>
            <w:tcW w:type="dxa" w:w="3120"/>
          </w:tcPr>
          <w:p>
            <w:pPr>
              <w:jc w:val="center"/>
            </w:pPr>
            <w:r/>
            <w:r>
              <w:rPr>
                <w:rFonts w:ascii="SimSun" w:hAnsi="SimSun"/>
                <w:sz w:val="20"/>
              </w:rPr>
              <w:t>2.0</w:t>
            </w:r>
          </w:p>
        </w:tc>
        <w:tc>
          <w:tcPr>
            <w:tcW w:type="dxa" w:w="3120"/>
          </w:tcPr>
          <w:p>
            <w:pPr>
              <w:jc w:val="center"/>
            </w:pPr>
            <w:r/>
            <w:r>
              <w:rPr>
                <w:rFonts w:ascii="SimSun" w:hAnsi="SimSun"/>
                <w:sz w:val="20"/>
              </w:rPr>
              <w:t>细胞系、siRNA合成、转染试剂、质粒构建、荧光素酶试剂</w:t>
            </w:r>
          </w:p>
        </w:tc>
      </w:tr>
      <w:tr>
        <w:tc>
          <w:tcPr>
            <w:tcW w:type="dxa" w:w="3120"/>
          </w:tcPr>
          <w:p>
            <w:pPr>
              <w:jc w:val="left"/>
            </w:pPr>
            <w:r/>
            <w:r>
              <w:rPr>
                <w:rFonts w:ascii="SimSun" w:hAnsi="SimSun"/>
                <w:sz w:val="20"/>
              </w:rPr>
              <w:t xml:space="preserve">  组织学试剂</w:t>
            </w:r>
          </w:p>
        </w:tc>
        <w:tc>
          <w:tcPr>
            <w:tcW w:type="dxa" w:w="3120"/>
          </w:tcPr>
          <w:p>
            <w:pPr>
              <w:jc w:val="center"/>
            </w:pPr>
            <w:r/>
            <w:r>
              <w:rPr>
                <w:rFonts w:ascii="SimSun" w:hAnsi="SimSun"/>
                <w:sz w:val="20"/>
              </w:rPr>
              <w:t>1.0</w:t>
            </w:r>
          </w:p>
        </w:tc>
        <w:tc>
          <w:tcPr>
            <w:tcW w:type="dxa" w:w="3120"/>
          </w:tcPr>
          <w:p>
            <w:pPr>
              <w:jc w:val="center"/>
            </w:pPr>
            <w:r/>
            <w:r>
              <w:rPr>
                <w:rFonts w:ascii="SimSun" w:hAnsi="SimSun"/>
                <w:sz w:val="20"/>
              </w:rPr>
              <w:t>冰冻切片耗材、免疫荧光抗体、封片剂</w:t>
            </w:r>
          </w:p>
        </w:tc>
      </w:tr>
      <w:tr>
        <w:tc>
          <w:tcPr>
            <w:tcW w:type="dxa" w:w="3120"/>
          </w:tcPr>
          <w:p>
            <w:pPr>
              <w:jc w:val="left"/>
            </w:pPr>
            <w:r/>
            <w:r>
              <w:rPr>
                <w:rFonts w:ascii="SimSun" w:hAnsi="SimSun"/>
                <w:sz w:val="20"/>
              </w:rPr>
              <w:t xml:space="preserve">  ELISA试剂盒</w:t>
            </w:r>
          </w:p>
        </w:tc>
        <w:tc>
          <w:tcPr>
            <w:tcW w:type="dxa" w:w="3120"/>
          </w:tcPr>
          <w:p>
            <w:pPr>
              <w:jc w:val="center"/>
            </w:pPr>
            <w:r/>
            <w:r>
              <w:rPr>
                <w:rFonts w:ascii="SimSun" w:hAnsi="SimSun"/>
                <w:sz w:val="20"/>
              </w:rPr>
              <w:t>1.5</w:t>
            </w:r>
          </w:p>
        </w:tc>
        <w:tc>
          <w:tcPr>
            <w:tcW w:type="dxa" w:w="3120"/>
          </w:tcPr>
          <w:p>
            <w:pPr>
              <w:jc w:val="center"/>
            </w:pPr>
            <w:r/>
            <w:r>
              <w:rPr>
                <w:rFonts w:ascii="SimSun" w:hAnsi="SimSun"/>
                <w:sz w:val="20"/>
              </w:rPr>
              <w:t>α-MSH, ACTH, β-endorphin ELISA kits</w:t>
            </w:r>
          </w:p>
        </w:tc>
      </w:tr>
      <w:tr>
        <w:tc>
          <w:tcPr>
            <w:tcW w:type="dxa" w:w="3120"/>
          </w:tcPr>
          <w:p>
            <w:pPr>
              <w:jc w:val="left"/>
            </w:pPr>
            <w:r/>
            <w:r>
              <w:rPr>
                <w:rFonts w:ascii="SimSun" w:hAnsi="SimSun"/>
                <w:sz w:val="20"/>
              </w:rPr>
              <w:t>三、测试化验加工费</w:t>
            </w:r>
          </w:p>
        </w:tc>
        <w:tc>
          <w:tcPr>
            <w:tcW w:type="dxa" w:w="3120"/>
          </w:tcPr>
          <w:p>
            <w:pPr>
              <w:jc w:val="center"/>
            </w:pPr>
            <w:r/>
            <w:r>
              <w:rPr>
                <w:rFonts w:ascii="SimSun" w:hAnsi="SimSun"/>
                <w:sz w:val="20"/>
              </w:rPr>
              <w:t>2.5</w:t>
            </w:r>
          </w:p>
        </w:tc>
        <w:tc>
          <w:tcPr>
            <w:tcW w:type="dxa" w:w="3120"/>
          </w:tcPr>
          <w:p>
            <w:pPr>
              <w:jc w:val="center"/>
            </w:pPr>
            <w:r/>
            <w:r>
              <w:rPr>
                <w:rFonts w:ascii="SimSun" w:hAnsi="SimSun"/>
                <w:sz w:val="20"/>
              </w:rPr>
            </w:r>
          </w:p>
        </w:tc>
      </w:tr>
      <w:tr>
        <w:tc>
          <w:tcPr>
            <w:tcW w:type="dxa" w:w="3120"/>
          </w:tcPr>
          <w:p>
            <w:pPr>
              <w:jc w:val="left"/>
            </w:pPr>
            <w:r/>
            <w:r>
              <w:rPr>
                <w:rFonts w:ascii="SimSun" w:hAnsi="SimSun"/>
                <w:sz w:val="20"/>
              </w:rPr>
              <w:t xml:space="preserve">  RNA-seq</w:t>
            </w:r>
          </w:p>
        </w:tc>
        <w:tc>
          <w:tcPr>
            <w:tcW w:type="dxa" w:w="3120"/>
          </w:tcPr>
          <w:p>
            <w:pPr>
              <w:jc w:val="center"/>
            </w:pPr>
            <w:r/>
            <w:r>
              <w:rPr>
                <w:rFonts w:ascii="SimSun" w:hAnsi="SimSun"/>
                <w:sz w:val="20"/>
              </w:rPr>
              <w:t>1.5</w:t>
            </w:r>
          </w:p>
        </w:tc>
        <w:tc>
          <w:tcPr>
            <w:tcW w:type="dxa" w:w="3120"/>
          </w:tcPr>
          <w:p>
            <w:pPr>
              <w:jc w:val="center"/>
            </w:pPr>
            <w:r/>
            <w:r>
              <w:rPr>
                <w:rFonts w:ascii="SimSun" w:hAnsi="SimSun"/>
                <w:sz w:val="20"/>
              </w:rPr>
              <w:t>6样本×2500元/样本</w:t>
            </w:r>
          </w:p>
        </w:tc>
      </w:tr>
      <w:tr>
        <w:tc>
          <w:tcPr>
            <w:tcW w:type="dxa" w:w="3120"/>
          </w:tcPr>
          <w:p>
            <w:pPr>
              <w:jc w:val="left"/>
            </w:pPr>
            <w:r/>
            <w:r>
              <w:rPr>
                <w:rFonts w:ascii="SimSun" w:hAnsi="SimSun"/>
                <w:sz w:val="20"/>
              </w:rPr>
              <w:t xml:space="preserve">  ChIP-qPCR</w:t>
            </w:r>
          </w:p>
        </w:tc>
        <w:tc>
          <w:tcPr>
            <w:tcW w:type="dxa" w:w="3120"/>
          </w:tcPr>
          <w:p>
            <w:pPr>
              <w:jc w:val="center"/>
            </w:pPr>
            <w:r/>
            <w:r>
              <w:rPr>
                <w:rFonts w:ascii="SimSun" w:hAnsi="SimSun"/>
                <w:sz w:val="20"/>
              </w:rPr>
              <w:t>1.0</w:t>
            </w:r>
          </w:p>
        </w:tc>
        <w:tc>
          <w:tcPr>
            <w:tcW w:type="dxa" w:w="3120"/>
          </w:tcPr>
          <w:p>
            <w:pPr>
              <w:jc w:val="center"/>
            </w:pPr>
            <w:r/>
            <w:r>
              <w:rPr>
                <w:rFonts w:ascii="SimSun" w:hAnsi="SimSun"/>
                <w:sz w:val="20"/>
              </w:rPr>
              <w:t>ChIP试剂盒+NGS建库</w:t>
            </w:r>
          </w:p>
        </w:tc>
      </w:tr>
      <w:tr>
        <w:tc>
          <w:tcPr>
            <w:tcW w:type="dxa" w:w="3120"/>
          </w:tcPr>
          <w:p>
            <w:pPr>
              <w:jc w:val="left"/>
            </w:pPr>
            <w:r/>
            <w:r>
              <w:rPr>
                <w:rFonts w:ascii="SimSun" w:hAnsi="SimSun"/>
                <w:sz w:val="20"/>
              </w:rPr>
              <w:t>四、差旅/会议</w:t>
            </w:r>
          </w:p>
        </w:tc>
        <w:tc>
          <w:tcPr>
            <w:tcW w:type="dxa" w:w="3120"/>
          </w:tcPr>
          <w:p>
            <w:pPr>
              <w:jc w:val="center"/>
            </w:pPr>
            <w:r/>
            <w:r>
              <w:rPr>
                <w:rFonts w:ascii="SimSun" w:hAnsi="SimSun"/>
                <w:sz w:val="20"/>
              </w:rPr>
              <w:t>1.0</w:t>
            </w:r>
          </w:p>
        </w:tc>
        <w:tc>
          <w:tcPr>
            <w:tcW w:type="dxa" w:w="3120"/>
          </w:tcPr>
          <w:p>
            <w:pPr>
              <w:jc w:val="center"/>
            </w:pPr>
            <w:r/>
            <w:r>
              <w:rPr>
                <w:rFonts w:ascii="SimSun" w:hAnsi="SimSun"/>
                <w:sz w:val="20"/>
              </w:rPr>
              <w:t>国内学术会议1-2次</w:t>
            </w:r>
          </w:p>
        </w:tc>
      </w:tr>
      <w:tr>
        <w:tc>
          <w:tcPr>
            <w:tcW w:type="dxa" w:w="3120"/>
          </w:tcPr>
          <w:p>
            <w:pPr>
              <w:jc w:val="left"/>
            </w:pPr>
            <w:r/>
            <w:r>
              <w:rPr>
                <w:rFonts w:ascii="SimSun" w:hAnsi="SimSun"/>
                <w:sz w:val="20"/>
              </w:rPr>
              <w:t>五、论文发表</w:t>
            </w:r>
          </w:p>
        </w:tc>
        <w:tc>
          <w:tcPr>
            <w:tcW w:type="dxa" w:w="3120"/>
          </w:tcPr>
          <w:p>
            <w:pPr>
              <w:jc w:val="center"/>
            </w:pPr>
            <w:r/>
            <w:r>
              <w:rPr>
                <w:rFonts w:ascii="SimSun" w:hAnsi="SimSun"/>
                <w:sz w:val="20"/>
              </w:rPr>
              <w:t>1.5</w:t>
            </w:r>
          </w:p>
        </w:tc>
        <w:tc>
          <w:tcPr>
            <w:tcW w:type="dxa" w:w="3120"/>
          </w:tcPr>
          <w:p>
            <w:pPr>
              <w:jc w:val="center"/>
            </w:pPr>
            <w:r/>
            <w:r>
              <w:rPr>
                <w:rFonts w:ascii="SimSun" w:hAnsi="SimSun"/>
                <w:sz w:val="20"/>
              </w:rPr>
              <w:t>国际OA期刊版面费</w:t>
            </w:r>
          </w:p>
        </w:tc>
      </w:tr>
      <w:tr>
        <w:tc>
          <w:tcPr>
            <w:tcW w:type="dxa" w:w="3120"/>
          </w:tcPr>
          <w:p>
            <w:pPr>
              <w:jc w:val="left"/>
            </w:pPr>
            <w:r/>
            <w:r>
              <w:rPr>
                <w:rFonts w:ascii="SimSun" w:hAnsi="SimSun"/>
                <w:sz w:val="20"/>
              </w:rPr>
              <w:t>六、劳务费</w:t>
            </w:r>
          </w:p>
        </w:tc>
        <w:tc>
          <w:tcPr>
            <w:tcW w:type="dxa" w:w="3120"/>
          </w:tcPr>
          <w:p>
            <w:pPr>
              <w:jc w:val="center"/>
            </w:pPr>
            <w:r/>
            <w:r>
              <w:rPr>
                <w:rFonts w:ascii="SimSun" w:hAnsi="SimSun"/>
                <w:sz w:val="20"/>
              </w:rPr>
              <w:t>0.5</w:t>
            </w:r>
          </w:p>
        </w:tc>
        <w:tc>
          <w:tcPr>
            <w:tcW w:type="dxa" w:w="3120"/>
          </w:tcPr>
          <w:p>
            <w:pPr>
              <w:jc w:val="center"/>
            </w:pPr>
            <w:r/>
            <w:r>
              <w:rPr>
                <w:rFonts w:ascii="SimSun" w:hAnsi="SimSun"/>
                <w:sz w:val="20"/>
              </w:rPr>
              <w:t>研究生助研津贴</w:t>
            </w:r>
          </w:p>
        </w:tc>
      </w:tr>
      <w:tr>
        <w:tc>
          <w:tcPr>
            <w:tcW w:type="dxa" w:w="3120"/>
          </w:tcPr>
          <w:p>
            <w:pPr>
              <w:jc w:val="left"/>
            </w:pPr>
            <w:r/>
            <w:r>
              <w:rPr>
                <w:rFonts w:ascii="SimSun" w:hAnsi="SimSun"/>
                <w:sz w:val="20"/>
              </w:rPr>
              <w:t>合计</w:t>
            </w:r>
          </w:p>
        </w:tc>
        <w:tc>
          <w:tcPr>
            <w:tcW w:type="dxa" w:w="3120"/>
          </w:tcPr>
          <w:p>
            <w:pPr>
              <w:jc w:val="center"/>
            </w:pPr>
            <w:r/>
            <w:r>
              <w:rPr>
                <w:rFonts w:ascii="SimSun" w:hAnsi="SimSun"/>
                <w:sz w:val="20"/>
              </w:rPr>
              <w:t>15.0</w:t>
            </w:r>
          </w:p>
        </w:tc>
        <w:tc>
          <w:tcPr>
            <w:tcW w:type="dxa" w:w="3120"/>
          </w:tcPr>
          <w:p>
            <w:pPr>
              <w:jc w:val="center"/>
            </w:pPr>
            <w:r/>
            <w:r>
              <w:rPr>
                <w:rFonts w:ascii="SimSun" w:hAnsi="SimSun"/>
                <w:sz w:val="20"/>
              </w:rPr>
            </w:r>
          </w:p>
        </w:tc>
      </w:tr>
    </w:tbl>
    <w:p/>
    <w:p>
      <w:r>
        <w:br w:type="page"/>
      </w:r>
    </w:p>
    <w:p>
      <w:pPr>
        <w:pStyle w:val="Heading1"/>
      </w:pPr>
      <w:r>
        <w:rPr>
          <w:rFonts w:ascii="SimHei" w:hAnsi="SimHei"/>
          <w:color w:val="000000"/>
          <w:sz w:val="30"/>
        </w:rPr>
        <w:t>十二、年度计划</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pPr>
              <w:jc w:val="center"/>
            </w:pPr>
            <w:r/>
            <w:r>
              <w:rPr>
                <w:rFonts w:ascii="SimHei" w:hAnsi="SimHei"/>
                <w:b/>
                <w:sz w:val="20"/>
              </w:rPr>
              <w:t>年度</w:t>
            </w:r>
          </w:p>
        </w:tc>
        <w:tc>
          <w:tcPr>
            <w:tcW w:type="dxa" w:w="2340"/>
            <w:shd w:fill="D9E2F3" w:val="clear"/>
          </w:tcPr>
          <w:p>
            <w:pPr>
              <w:jc w:val="center"/>
            </w:pPr>
            <w:r/>
            <w:r>
              <w:rPr>
                <w:rFonts w:ascii="SimHei" w:hAnsi="SimHei"/>
                <w:b/>
                <w:sz w:val="20"/>
              </w:rPr>
              <w:t>时间</w:t>
            </w:r>
          </w:p>
        </w:tc>
        <w:tc>
          <w:tcPr>
            <w:tcW w:type="dxa" w:w="2340"/>
            <w:shd w:fill="D9E2F3" w:val="clear"/>
          </w:tcPr>
          <w:p>
            <w:pPr>
              <w:jc w:val="center"/>
            </w:pPr>
            <w:r/>
            <w:r>
              <w:rPr>
                <w:rFonts w:ascii="SimHei" w:hAnsi="SimHei"/>
                <w:b/>
                <w:sz w:val="20"/>
              </w:rPr>
              <w:t>研究内容</w:t>
            </w:r>
          </w:p>
        </w:tc>
        <w:tc>
          <w:tcPr>
            <w:tcW w:type="dxa" w:w="2340"/>
            <w:shd w:fill="D9E2F3" w:val="clear"/>
          </w:tcPr>
          <w:p>
            <w:pPr>
              <w:jc w:val="center"/>
            </w:pPr>
            <w:r/>
            <w:r>
              <w:rPr>
                <w:rFonts w:ascii="SimHei" w:hAnsi="SimHei"/>
                <w:b/>
                <w:sz w:val="20"/>
              </w:rPr>
              <w:t>考核指标</w:t>
            </w:r>
          </w:p>
        </w:tc>
      </w:tr>
      <w:tr>
        <w:tc>
          <w:tcPr>
            <w:tcW w:type="dxa" w:w="2340"/>
          </w:tcPr>
          <w:p>
            <w:pPr>
              <w:jc w:val="left"/>
            </w:pPr>
            <w:r/>
            <w:r>
              <w:rPr>
                <w:rFonts w:ascii="SimSun" w:hAnsi="SimSun"/>
                <w:sz w:val="20"/>
              </w:rPr>
              <w:t>第一年</w:t>
              <w:br/>
              <w:t>(2027)</w:t>
            </w:r>
          </w:p>
        </w:tc>
        <w:tc>
          <w:tcPr>
            <w:tcW w:type="dxa" w:w="2340"/>
          </w:tcPr>
          <w:p>
            <w:pPr>
              <w:jc w:val="center"/>
            </w:pPr>
            <w:r/>
            <w:r>
              <w:rPr>
                <w:rFonts w:ascii="SimSun" w:hAnsi="SimSun"/>
                <w:sz w:val="20"/>
              </w:rPr>
              <w:t>1-6月</w:t>
            </w:r>
          </w:p>
        </w:tc>
        <w:tc>
          <w:tcPr>
            <w:tcW w:type="dxa" w:w="2340"/>
          </w:tcPr>
          <w:p>
            <w:pPr>
              <w:jc w:val="center"/>
            </w:pPr>
            <w:r/>
            <w:r>
              <w:rPr>
                <w:rFonts w:ascii="SimSun" w:hAnsi="SimSun"/>
                <w:sz w:val="20"/>
              </w:rPr>
              <w:t>小鼠睡眠剥夺模型建立；完成qPCR和Western Blot验证</w:t>
            </w:r>
          </w:p>
        </w:tc>
        <w:tc>
          <w:tcPr>
            <w:tcW w:type="dxa" w:w="2340"/>
          </w:tcPr>
          <w:p>
            <w:pPr>
              <w:jc w:val="center"/>
            </w:pPr>
            <w:r/>
            <w:r>
              <w:rPr>
                <w:rFonts w:ascii="SimSun" w:hAnsi="SimSun"/>
                <w:sz w:val="20"/>
              </w:rPr>
              <w:t>动物模型+表达数据</w:t>
            </w:r>
          </w:p>
        </w:tc>
      </w:tr>
      <w:tr>
        <w:tc>
          <w:tcPr>
            <w:tcW w:type="dxa" w:w="2340"/>
          </w:tcPr>
          <w:p>
            <w:pPr>
              <w:jc w:val="left"/>
            </w:pPr>
            <w:r/>
            <w:r>
              <w:rPr>
                <w:rFonts w:ascii="SimSun" w:hAnsi="SimSun"/>
                <w:sz w:val="20"/>
              </w:rPr>
            </w:r>
          </w:p>
        </w:tc>
        <w:tc>
          <w:tcPr>
            <w:tcW w:type="dxa" w:w="2340"/>
          </w:tcPr>
          <w:p>
            <w:pPr>
              <w:jc w:val="center"/>
            </w:pPr>
            <w:r/>
            <w:r>
              <w:rPr>
                <w:rFonts w:ascii="SimSun" w:hAnsi="SimSun"/>
                <w:sz w:val="20"/>
              </w:rPr>
              <w:t>7-12月</w:t>
            </w:r>
          </w:p>
        </w:tc>
        <w:tc>
          <w:tcPr>
            <w:tcW w:type="dxa" w:w="2340"/>
          </w:tcPr>
          <w:p>
            <w:pPr>
              <w:jc w:val="center"/>
            </w:pPr>
            <w:r/>
            <w:r>
              <w:rPr>
                <w:rFonts w:ascii="SimSun" w:hAnsi="SimSun"/>
                <w:sz w:val="20"/>
              </w:rPr>
              <w:t>免疫荧光双标+ELISA检测；启动细胞培养</w:t>
            </w:r>
          </w:p>
        </w:tc>
        <w:tc>
          <w:tcPr>
            <w:tcW w:type="dxa" w:w="2340"/>
          </w:tcPr>
          <w:p>
            <w:pPr>
              <w:jc w:val="center"/>
            </w:pPr>
            <w:r/>
            <w:r>
              <w:rPr>
                <w:rFonts w:ascii="SimSun" w:hAnsi="SimSun"/>
                <w:sz w:val="20"/>
              </w:rPr>
              <w:t>IF数据+肽水平数据</w:t>
            </w:r>
          </w:p>
        </w:tc>
      </w:tr>
      <w:tr>
        <w:tc>
          <w:tcPr>
            <w:tcW w:type="dxa" w:w="2340"/>
          </w:tcPr>
          <w:p>
            <w:pPr>
              <w:jc w:val="left"/>
            </w:pPr>
            <w:r/>
            <w:r>
              <w:rPr>
                <w:rFonts w:ascii="SimSun" w:hAnsi="SimSun"/>
                <w:sz w:val="20"/>
              </w:rPr>
              <w:t>第二年</w:t>
              <w:br/>
              <w:t>(2028)</w:t>
            </w:r>
          </w:p>
        </w:tc>
        <w:tc>
          <w:tcPr>
            <w:tcW w:type="dxa" w:w="2340"/>
          </w:tcPr>
          <w:p>
            <w:pPr>
              <w:jc w:val="center"/>
            </w:pPr>
            <w:r/>
            <w:r>
              <w:rPr>
                <w:rFonts w:ascii="SimSun" w:hAnsi="SimSun"/>
                <w:sz w:val="20"/>
              </w:rPr>
              <w:t>1-6月</w:t>
            </w:r>
          </w:p>
        </w:tc>
        <w:tc>
          <w:tcPr>
            <w:tcW w:type="dxa" w:w="2340"/>
          </w:tcPr>
          <w:p>
            <w:pPr>
              <w:jc w:val="center"/>
            </w:pPr>
            <w:r/>
            <w:r>
              <w:rPr>
                <w:rFonts w:ascii="SimSun" w:hAnsi="SimSun"/>
                <w:sz w:val="20"/>
              </w:rPr>
              <w:t>Pomc siRNA敲低+qPCR panel+RNA-seq</w:t>
            </w:r>
          </w:p>
        </w:tc>
        <w:tc>
          <w:tcPr>
            <w:tcW w:type="dxa" w:w="2340"/>
          </w:tcPr>
          <w:p>
            <w:pPr>
              <w:jc w:val="center"/>
            </w:pPr>
            <w:r/>
            <w:r>
              <w:rPr>
                <w:rFonts w:ascii="SimSun" w:hAnsi="SimSun"/>
                <w:sz w:val="20"/>
              </w:rPr>
              <w:t>因果验证核心数据</w:t>
            </w:r>
          </w:p>
        </w:tc>
      </w:tr>
      <w:tr>
        <w:tc>
          <w:tcPr>
            <w:tcW w:type="dxa" w:w="2340"/>
          </w:tcPr>
          <w:p>
            <w:pPr>
              <w:jc w:val="left"/>
            </w:pPr>
            <w:r/>
            <w:r>
              <w:rPr>
                <w:rFonts w:ascii="SimSun" w:hAnsi="SimSun"/>
                <w:sz w:val="20"/>
              </w:rPr>
            </w:r>
          </w:p>
        </w:tc>
        <w:tc>
          <w:tcPr>
            <w:tcW w:type="dxa" w:w="2340"/>
          </w:tcPr>
          <w:p>
            <w:pPr>
              <w:jc w:val="center"/>
            </w:pPr>
            <w:r/>
            <w:r>
              <w:rPr>
                <w:rFonts w:ascii="SimSun" w:hAnsi="SimSun"/>
                <w:sz w:val="20"/>
              </w:rPr>
              <w:t>7-12月</w:t>
            </w:r>
          </w:p>
        </w:tc>
        <w:tc>
          <w:tcPr>
            <w:tcW w:type="dxa" w:w="2340"/>
          </w:tcPr>
          <w:p>
            <w:pPr>
              <w:jc w:val="center"/>
            </w:pPr>
            <w:r/>
            <w:r>
              <w:rPr>
                <w:rFonts w:ascii="SimSun" w:hAnsi="SimSun"/>
                <w:sz w:val="20"/>
              </w:rPr>
              <w:t>Rescue实验；启动ChIP</w:t>
            </w:r>
          </w:p>
        </w:tc>
        <w:tc>
          <w:tcPr>
            <w:tcW w:type="dxa" w:w="2340"/>
          </w:tcPr>
          <w:p>
            <w:pPr>
              <w:jc w:val="center"/>
            </w:pPr>
            <w:r/>
            <w:r>
              <w:rPr>
                <w:rFonts w:ascii="SimSun" w:hAnsi="SimSun"/>
                <w:sz w:val="20"/>
              </w:rPr>
              <w:t>RNA-seq分析完成</w:t>
            </w:r>
          </w:p>
        </w:tc>
      </w:tr>
      <w:tr>
        <w:tc>
          <w:tcPr>
            <w:tcW w:type="dxa" w:w="2340"/>
          </w:tcPr>
          <w:p>
            <w:pPr>
              <w:jc w:val="left"/>
            </w:pPr>
            <w:r/>
            <w:r>
              <w:rPr>
                <w:rFonts w:ascii="SimSun" w:hAnsi="SimSun"/>
                <w:sz w:val="20"/>
              </w:rPr>
              <w:t>第三年</w:t>
              <w:br/>
              <w:t>(2029)</w:t>
            </w:r>
          </w:p>
        </w:tc>
        <w:tc>
          <w:tcPr>
            <w:tcW w:type="dxa" w:w="2340"/>
          </w:tcPr>
          <w:p>
            <w:pPr>
              <w:jc w:val="center"/>
            </w:pPr>
            <w:r/>
            <w:r>
              <w:rPr>
                <w:rFonts w:ascii="SimSun" w:hAnsi="SimSun"/>
                <w:sz w:val="20"/>
              </w:rPr>
              <w:t>1-6月</w:t>
            </w:r>
          </w:p>
        </w:tc>
        <w:tc>
          <w:tcPr>
            <w:tcW w:type="dxa" w:w="2340"/>
          </w:tcPr>
          <w:p>
            <w:pPr>
              <w:jc w:val="center"/>
            </w:pPr>
            <w:r/>
            <w:r>
              <w:rPr>
                <w:rFonts w:ascii="SimSun" w:hAnsi="SimSun"/>
                <w:sz w:val="20"/>
              </w:rPr>
              <w:t>ChIP-qPCR+荧光素酶实验（可选）</w:t>
            </w:r>
          </w:p>
        </w:tc>
        <w:tc>
          <w:tcPr>
            <w:tcW w:type="dxa" w:w="2340"/>
          </w:tcPr>
          <w:p>
            <w:pPr>
              <w:jc w:val="center"/>
            </w:pPr>
            <w:r/>
            <w:r>
              <w:rPr>
                <w:rFonts w:ascii="SimSun" w:hAnsi="SimSun"/>
                <w:sz w:val="20"/>
              </w:rPr>
              <w:t>机制数据</w:t>
            </w:r>
          </w:p>
        </w:tc>
      </w:tr>
      <w:tr>
        <w:tc>
          <w:tcPr>
            <w:tcW w:type="dxa" w:w="2340"/>
          </w:tcPr>
          <w:p>
            <w:pPr>
              <w:jc w:val="left"/>
            </w:pPr>
            <w:r/>
            <w:r>
              <w:rPr>
                <w:rFonts w:ascii="SimSun" w:hAnsi="SimSun"/>
                <w:sz w:val="20"/>
              </w:rPr>
            </w:r>
          </w:p>
        </w:tc>
        <w:tc>
          <w:tcPr>
            <w:tcW w:type="dxa" w:w="2340"/>
          </w:tcPr>
          <w:p>
            <w:pPr>
              <w:jc w:val="center"/>
            </w:pPr>
            <w:r/>
            <w:r>
              <w:rPr>
                <w:rFonts w:ascii="SimSun" w:hAnsi="SimSun"/>
                <w:sz w:val="20"/>
              </w:rPr>
              <w:t>7-12月</w:t>
            </w:r>
          </w:p>
        </w:tc>
        <w:tc>
          <w:tcPr>
            <w:tcW w:type="dxa" w:w="2340"/>
          </w:tcPr>
          <w:p>
            <w:pPr>
              <w:jc w:val="center"/>
            </w:pPr>
            <w:r/>
            <w:r>
              <w:rPr>
                <w:rFonts w:ascii="SimSun" w:hAnsi="SimSun"/>
                <w:sz w:val="20"/>
              </w:rPr>
              <w:t>数据整合+论文撰写+投稿+项目结题</w:t>
            </w:r>
          </w:p>
        </w:tc>
        <w:tc>
          <w:tcPr>
            <w:tcW w:type="dxa" w:w="2340"/>
          </w:tcPr>
          <w:p>
            <w:pPr>
              <w:jc w:val="center"/>
            </w:pPr>
            <w:r/>
            <w:r>
              <w:rPr>
                <w:rFonts w:ascii="SimSun" w:hAnsi="SimSun"/>
                <w:sz w:val="20"/>
              </w:rPr>
              <w:t>论文1-2篇</w:t>
            </w:r>
          </w:p>
        </w:tc>
      </w:tr>
    </w:tbl>
    <w:p/>
    <w:p/>
    <w:p>
      <w:pPr>
        <w:pStyle w:val="Heading1"/>
      </w:pPr>
      <w:r>
        <w:rPr>
          <w:rFonts w:ascii="SimHei" w:hAnsi="SimHei"/>
          <w:color w:val="000000"/>
          <w:sz w:val="30"/>
        </w:rPr>
        <w:t>十三、附件清单</w:t>
      </w:r>
    </w:p>
    <w:p>
      <w:pPr>
        <w:spacing w:line="360" w:lineRule="auto"/>
        <w:ind w:firstLine="420"/>
      </w:pPr>
      <w:r>
        <w:rPr>
          <w:rFonts w:ascii="SimSun" w:hAnsi="SimSun"/>
          <w:b w:val="0"/>
          <w:sz w:val="24"/>
        </w:rPr>
        <w:t>1. 申请人简历（含近5年发表论文列表）</w:t>
      </w:r>
    </w:p>
    <w:p>
      <w:pPr>
        <w:spacing w:line="360" w:lineRule="auto"/>
        <w:ind w:firstLine="420"/>
      </w:pPr>
      <w:r>
        <w:rPr>
          <w:rFonts w:ascii="SimSun" w:hAnsi="SimSun"/>
          <w:b w:val="0"/>
          <w:sz w:val="24"/>
        </w:rPr>
        <w:t>2. 前期研究代表性成果（bioRxiv预印本全文）</w:t>
      </w:r>
    </w:p>
    <w:p>
      <w:pPr>
        <w:spacing w:line="360" w:lineRule="auto"/>
        <w:ind w:firstLine="420"/>
      </w:pPr>
      <w:r>
        <w:rPr>
          <w:rFonts w:ascii="SimSun" w:hAnsi="SimSun"/>
          <w:b w:val="0"/>
          <w:sz w:val="24"/>
        </w:rPr>
        <w:t>3. 依托单位实验平台条件证明</w:t>
      </w:r>
    </w:p>
    <w:p>
      <w:pPr>
        <w:spacing w:line="360" w:lineRule="auto"/>
        <w:ind w:firstLine="420"/>
      </w:pPr>
      <w:r>
        <w:rPr>
          <w:rFonts w:ascii="SimSun" w:hAnsi="SimSun"/>
          <w:b w:val="0"/>
          <w:sz w:val="24"/>
        </w:rPr>
        <w:t>4. 伦理审批文件（动物实验伦理审查）—— 提交前办理</w:t>
      </w:r>
    </w:p>
    <w:p/>
    <w:p>
      <w:pPr>
        <w:spacing w:line="312" w:lineRule="auto"/>
      </w:pPr>
      <w:r>
        <w:rPr>
          <w:rFonts w:ascii="SimSun" w:hAnsi="SimSun"/>
          <w:i/>
          <w:sz w:val="20"/>
        </w:rPr>
        <w:t>* 本申请书基于bioRxiv预印本（待发表）的前期计算发现撰写。预印本全文及所有分析代码、图表可于 GitHub 获取。</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