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[1]. Their sleep-promoting action is mediated through GABA</w:t>
      </w:r>
      <w:r>
        <w:rPr>
          <w:vertAlign w:val="subscript"/>
        </w:rPr>
        <w:t>A</w:t>
      </w:r>
      <w:r>
        <w:t>-ergic transmission [2].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In aged mice, laparotomy under sevoflurane anaesthesia disrupts the sleep–wake rhythm and produces delirium-like behaviour [3]; continuous polysomnography in patients undergoing major abdominal surgery shows reduced night-time rapid eye movement (REM) sleep across the first two postoperative nights, with sleep displaced into the daytime [4]. These disturbances are a plausible contributor to delayed recovery. A microbiota-focused study has reported associations between the gut microbiome and PSD [5],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and in rodent models the seed extract and its characteristic saponin jujuboside A prolong sleep while the extract extends non-rapid eye movement sleep, with the effect traced to GABA</w:t>
      </w:r>
      <w:r>
        <w:rPr>
          <w:vertAlign w:val="subscript"/>
        </w:rPr>
        <w:t>A</w:t>
      </w:r>
      <w:r>
        <w:t>-ergic transmission [2]. The pharmacokinetics nevertheless redirect the mechanistic question. Jujuboside A has an oral bioavailability of approximately 1.32%, and hydrolysis is predominantly gastric rather than microbiota-dependent [1]. The species reported to modulate GABA</w:t>
      </w:r>
      <w:r>
        <w:rPr>
          <w:vertAlign w:val="subscript"/>
        </w:rPr>
        <w:t>A</w:t>
      </w:r>
      <w:r>
        <w:t xml:space="preserve"> receptors are jujuboside B and the aglycone </w:t>
      </w:r>
      <w:r>
        <w:rPr>
          <w:b/>
        </w:rPr>
        <w:t>jujubogenin</w:t>
      </w:r>
      <w:r>
        <w:t>, not the parent glycoside [1].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[6]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[7, 8] was used. </w:t>
      </w:r>
      <w:r>
        <w:rPr>
          <w:b/>
        </w:rPr>
        <w:t>The search box was validated before any biological interpretation was drawn.</w:t>
      </w:r>
      <w:r>
        <w:t xml:space="preserve"> The reference BZ site was defined from the flumazenil co-crystal structure (PDB 6X3U; human α1β2γ2 + GABA + flumazenil, ligand residue FYP) [6]: protein residues within 4 Å of the bound flumazenil were α1 SER159, PHE100, HIS102, TYR160, VAL203, SER205, SER206, THR207, TYR210 and γ2 TYR58, ALA79, PHE77, THR142: the classical benzodiazepine-site residue set [9].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[10], GPU build, CUDA</w:t>
            </w:r>
          </w:p>
        </w:tc>
      </w:tr>
      <w:tr>
        <w:tc>
          <w:tcPr>
            <w:tcW w:type="dxa" w:w="4680"/>
          </w:tcPr>
          <w:p>
            <w:r>
              <w:rPr>
                <w:sz w:val="20"/>
              </w:rPr>
            </w:r>
            <w:r>
              <w:rPr>
                <w:sz w:val="20"/>
              </w:rPr>
              <w:t>Protein force field</w:t>
            </w:r>
          </w:p>
        </w:tc>
        <w:tc>
          <w:tcPr>
            <w:tcW w:type="dxa" w:w="4680"/>
          </w:tcPr>
          <w:p>
            <w:r>
              <w:rPr>
                <w:sz w:val="20"/>
              </w:rPr>
            </w:r>
            <w:r>
              <w:rPr>
                <w:sz w:val="20"/>
              </w:rPr>
              <w:t>amber99sb-ildn [11]</w:t>
            </w:r>
          </w:p>
        </w:tc>
      </w:tr>
      <w:tr>
        <w:tc>
          <w:tcPr>
            <w:tcW w:type="dxa" w:w="4680"/>
          </w:tcPr>
          <w:p>
            <w:r>
              <w:rPr>
                <w:sz w:val="20"/>
              </w:rPr>
            </w:r>
            <w:r>
              <w:rPr>
                <w:sz w:val="20"/>
              </w:rPr>
              <w:t>Ligand parameters</w:t>
            </w:r>
          </w:p>
        </w:tc>
        <w:tc>
          <w:tcPr>
            <w:tcW w:type="dxa" w:w="4680"/>
          </w:tcPr>
          <w:p>
            <w:r>
              <w:rPr>
                <w:sz w:val="20"/>
              </w:rPr>
            </w:r>
            <w:r>
              <w:rPr>
                <w:sz w:val="20"/>
              </w:rPr>
              <w:t>GAFF2 [12],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first run was terminated early by the host platform sending SIGTERM at </w:t>
      </w:r>
      <w:r>
        <w:rPr>
          <w:b/>
        </w:rPr>
        <w:t>step 12,420,100 (24.84 ns)</w:t>
      </w:r>
      <w:r>
        <w:t xml:space="preserve">; GROMACS shut down cleanly and wrote a complete, uncorrupted 24.8 ns trajectory, which is the primary basis of §3.1–3.3. A continuation run towards 100 ns was subsequently started and </w:t>
      </w:r>
      <w:r>
        <w:rPr>
          <w:b/>
        </w:rPr>
        <w:t>completed to 100 ns (2001 frames at 50 ps; verified by gmx check)</w:t>
      </w:r>
      <w:r>
        <w:t>. The continuation supplies no primary metric for §3.1–3.3 and is used only as a convergence and reference check: the 30–50 ns MM-GBSA window comparison in §3.3 and the wild-type reference for the alanine scan in §4.5 both come from it, and a 100-frame MM-GBSA drawn from the continuation reproduces −38.06 ± 2.14 kcal/mol, identical to the 0–24.8 ns window, indicating the binding estimate is insensitive to the additional sampling. The full 100 ns trajectory required periodic-boundary re-imaging (gmx trjconv -pbc whole -center) before stability analysis because a subset of frames exhibited imaging artefacts (spurious &gt;60 Å backbone RMSD that arose from a system-wide rather than protein-only fit); the quantitative stability claim in §3.2 is therefore anchored on the artefact-free 0–24.8 ns window.</w:t>
      </w:r>
    </w:p>
    <w:p>
      <w:pPr>
        <w:pStyle w:val="Heading2"/>
      </w:pPr>
      <w:r>
        <w:rPr>
          <w:b/>
          <w:color w:val="000000"/>
        </w:rPr>
        <w:t>2.4 Trajectory analysis</w:t>
      </w:r>
    </w:p>
    <w:p>
      <w:pPr>
        <w:jc w:val="both"/>
      </w:pPr>
      <w:r>
        <w:t>Analysis used MDTraj [13]. Two steps in the analysis changed the results materially, so both are stated explicitly:</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[14]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The two groups are also spatially separate. Every one of the 25 residues lies more than 12 Å from the centroid of the BZ site, defined as the mean Cα position of those 13 residues; the closest approach is 14.8 Å, at γ2 Asp192. The closest residue-to-residue approach between the two sets is 11.0 Å Cα–Cα, between γ2 Asp192 and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Jujubogenin stays within 0.42 ± 0.10 Å of its docked pose, and the ligand–pocket centroid distance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shift of about 6 kcal/mol from the 0–24.8 ns value, so the absolute MM-GBSA number should be read as indicative only. That 30–50 ns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the §4.5 alanine scan uses the deposited 0–24.8 ns value as its reference instead.</w:t>
      </w:r>
    </w:p>
    <w:p>
      <w:pPr>
        <w:pStyle w:val="Heading1"/>
      </w:pPr>
      <w:r>
        <w:rPr>
          <w:b/>
          <w:color w:val="000000"/>
        </w:rPr>
        <w:t>4. Discussion</w:t>
      </w:r>
    </w:p>
    <w:p>
      <w:pPr>
        <w:pStyle w:val="Heading2"/>
      </w:pPr>
      <w:r>
        <w:rPr>
          <w:b/>
          <w:color w:val="000000"/>
        </w:rPr>
        <w:t>4.1 What this study adds</w:t>
      </w:r>
    </w:p>
    <w:p>
      <w:pPr>
        <w:jc w:val="both"/>
      </w:pPr>
      <w:r>
        <w:t xml:space="preserve">Three findings.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jc w:val="both"/>
      </w:pPr>
      <w:r>
        <w:t>Ligand binding at a transmembrane or ECD–TMD-junction pocket in this receptor class has precedent. Cryo-EM structures of the α1β2γ2 receptor resolve etomidate and propofol at the two β+/α− transmembrane interfaces, phenobarbital at distinct sites in the same domain, and diazepam both at its classical extracellular α+/γ− site and at lower-affinity transmembrane sites in the β+/α− and γ+/β− interfaces [6]. No ligand density was reported at the α+/γ− transmembrane face in those structures, which is where the cavity modelled here lies. More directly, Fan et al. [15] showed that β-estradiol occupies a pocket at the ECD–TMD interface of the human ρ1 GABA</w:t>
      </w:r>
      <w:r>
        <w:rPr>
          <w:vertAlign w:val="subscript"/>
        </w:rPr>
        <w:t>A</w:t>
      </w:r>
      <w:r>
        <w:t xml:space="preserve"> receptor and disrupts the allosteric transition that couples GABA binding to pore opening. That is the interface class to which the present candidate cavity belongs. Published structures therefore support transmembrane and ECD–TMD pockets at the β+/α− and γ+/β− interfaces, but not yet at α+/γ−. We did not search the structural literature systematically, so that statement rests on the structures cited here and on our reading of them. On that basis the cavity is worth testing. It remains a hypothesis, because this study provides no functional evidence for it.</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One transparency note on mutant construction is needed. For 5 of the 6 in-silico mutants the topology-build step (tleap) returned a non-zero exit code (exit = 1). The substitution was nevertheless verified quantitatively: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That atom-count identity is re-checked from the deposited files, not from the pipeline log, by </w:t>
      </w:r>
      <w:r>
        <w:rPr>
          <w:rFonts w:ascii="Consolas" w:hAnsi="Consolas"/>
          <w:sz w:val="20"/>
        </w:rPr>
        <w:t>verify_mutant_topologies.py</w:t>
      </w:r>
      <w:r>
        <w:t xml:space="preserve">, which reads each </w:t>
      </w:r>
      <w:r>
        <w:rPr>
          <w:rFonts w:ascii="Consolas" w:hAnsi="Consolas"/>
          <w:sz w:val="20"/>
        </w:rPr>
        <w:t>rep1/complex_&lt;mutant&gt;.gro</w:t>
      </w:r>
      <w:r>
        <w:t xml:space="preserve"> and confirms two independent equalities for all six mutants: the complex atom count equals receptor plus ligand (82 atoms for jujubogenin), and the wild-type count minus the built receptor count equals the substitution difference quoted above; the two MET→ALA mutants are additionally confirmed to carry the same receptor count. The scan results are shown in Fig. 3. For each mutant the alanine-substituted complex was re-simulated for 20 ns under the protocol of §2.3. The pipeline log records fresh minimisation, NVT and NPT equilibration for the five newly built mutants. The coordinates built by tleap for each mutant are deposited as </w:t>
      </w:r>
      <w:r>
        <w:rPr>
          <w:rFonts w:ascii="Consolas" w:hAnsi="Consolas"/>
          <w:sz w:val="20"/>
        </w:rPr>
        <w:t>rep1/complex_&lt;mutant&gt;.gro</w:t>
      </w:r>
      <w:r>
        <w:t>; the solvated and equilibrated boxes, at more than 14 MB each, are not. MM-GBSA binding free energy was recomputed, and the change relative to the wild-type reference was taken as ΔΔG, defined as ΔΔG = ΔG</w:t>
      </w:r>
      <w:r>
        <w:rPr>
          <w:vertAlign w:val="subscript"/>
        </w:rPr>
        <w:t>mutant</w:t>
      </w:r>
      <w:r>
        <w:t xml:space="preserve"> − ΔG</w:t>
      </w:r>
      <w:r>
        <w:rPr>
          <w:vertAlign w:val="subscript"/>
        </w:rPr>
        <w:t>WT</w:t>
      </w:r>
      <w:r>
        <w:t xml:space="preserve"> so that a positive value means the substitution is destabilising. The wild-type reference is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The 5.66 kcal/mol difference between the two windows is reported here rather than hidden. Because the wild-type reference enters ΔΔG only as an additive constant, re-referencing the scan to the 30–50 ns window would shift all six values by the same −5.66 kcal/mol, giving +8.32, +19.70, +29.45, +27.50, +17.58 and +16.99 respectively. The ranking and every conclusion below are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mmpbsa_D141A_rep2.dat</w:t>
      </w:r>
      <w:r>
        <w:t xml:space="preserve"> and </w:t>
      </w:r>
      <w:r>
        <w:rPr>
          <w:rFonts w:ascii="Consolas" w:hAnsi="Consolas"/>
          <w:sz w:val="20"/>
        </w:rPr>
        <w:t>mmpbsa_E194A_rep2.dat</w:t>
      </w:r>
      <w:r>
        <w:t xml:space="preserve"> in </w:t>
      </w:r>
      <w:r>
        <w:rPr>
          <w:rFonts w:ascii="Consolas" w:hAnsi="Consolas"/>
          <w:sz w:val="20"/>
        </w:rPr>
        <w:t>analysis/scan/rep2/</w:t>
      </w:r>
      <w:r>
        <w:t xml:space="preserve">, with the corresponding gmx_MMPBSA logs recording the command line and the 100 processed frames) gave ΔΔG of +27.44 ± 5.44 (D141A) and +13.51 ± 6.26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at 2.9 times its own propagated standard deviation. The scan therefore supports a directional signal at the two γ2 hotspots and does not support one at α1 MET141; this is a consistency check, not a quantitative attribution.</w:t>
      </w:r>
    </w:p>
    <w:p>
      <w:pPr>
        <w:jc w:val="both"/>
      </w:pPr>
      <w:r>
        <w:t xml:space="preserve">One completeness limitation should be noted.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apply to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analysis/scan/rep2/mmpbsa_D141A_rep2.dat</w:t>
      </w:r>
      <w:r>
        <w:t xml:space="preserve"> and </w:t>
      </w:r>
      <w:r>
        <w:rPr>
          <w:rFonts w:ascii="Consolas" w:hAnsi="Consolas"/>
          <w:sz w:val="20"/>
        </w:rPr>
        <w:t>mmpbsa_E194A_rep2.dat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survives independent sampling rather than resting on a single trajectory,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2"/>
      </w:pPr>
      <w:r>
        <w:rPr>
          <w:b/>
          <w:color w:val="000000"/>
        </w:rPr>
        <w:t>4.6 Relation to prior in silico models of jujubogenin action</w:t>
      </w:r>
    </w:p>
    <w:p>
      <w:pPr>
        <w:jc w:val="both"/>
      </w:pPr>
      <w:r>
        <w:t>Two earlier computational studies frame the present result, and each is stated so as not to overstate agreement.</w:t>
      </w:r>
    </w:p>
    <w:p>
      <w:pPr>
        <w:jc w:val="both"/>
      </w:pPr>
      <w:r>
        <w:rPr>
          <w:b/>
        </w:rPr>
        <w:t>Chen et al. [16] predicted an orthosteric GABA-site mode.</w:t>
      </w:r>
      <w:r>
        <w:t xml:space="preserve"> Using a homology-model-built GABA</w:t>
      </w:r>
      <w:r>
        <w:rPr>
          <w:vertAlign w:val="subscript"/>
        </w:rPr>
        <w:t>A</w:t>
      </w:r>
      <w:r>
        <w:t xml:space="preserve"> receptor, Chen, Chen, Wu and Tsai [16] reported that jujubogenin forms two hydrogen bonds with β2 Thr226 and β2 Tyr229 at the orthosteric GABA site. That prediction was made on a modelled receptor and was not validated against a crystal structure. The present study used the crystal-guided α1β2γ2 structure (PDB 6X3Z) and asked a different question: does jujubogenin preferentially occupy the benzodiazepine site, and if not, where. It did </w:t>
      </w:r>
      <w:r>
        <w:rPr>
          <w:b/>
        </w:rPr>
        <w:t>not</w:t>
      </w:r>
      <w:r>
        <w:t xml:space="preserve"> test the orthosteric β2 site. The two studies are therefore orthogonal. Both are consistent with jujubogenin being a plausible GABA</w:t>
      </w:r>
      <w:r>
        <w:rPr>
          <w:vertAlign w:val="subscript"/>
        </w:rPr>
        <w:t>A</w:t>
      </w:r>
      <w:r>
        <w:t xml:space="preserve"> ligand, but at different sites, and the present work neither confirms nor refutes the Chen et al. [16] orthosteric assignment.</w:t>
      </w:r>
    </w:p>
    <w:p>
      <w:pPr>
        <w:jc w:val="both"/>
      </w:pPr>
      <w:r>
        <w:rPr>
          <w:b/>
        </w:rPr>
        <w:t>One point of convergence with experiment is encouraging but not confirmatory.</w:t>
      </w:r>
      <w:r>
        <w:t xml:space="preserve"> γ2 Ser195, which the present MD identifies as a cavity-contact residue (§3.1), is the same position that Eaton et al. [17] used as a substituted-cysteine (loop F) probe of the α1/γ2 interface: modification of γ2(S195C) potentiated GABA-gated but not etomidate-gated current, indicating that this interface region transmits agonist-specific conformational change. That the candidate cavity contacts a residue already known to report on α1/γ2 interfacial motion is a useful cross-check. It is not proof of binding, because the experimental probe sits in the extracellular domain whereas the present cavity model spans the ECD–TMD junction, and the overlap is at the level of a single shared residue.</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That cavity has 25 contact residues, none shared with the classical benzodiazepine set, and lies 23.1 Å from that site. Jujubogenin remains stably bound there for 24.8 ns, with a ligand heavy-atom RMSD of 0.42 ± 0.10 Å. The relative preference between the two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(+27.44 ± 5.44 kcal/mol) and E194A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v1.0.9),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tleap-built starting coordinates of all six mutants </w:t>
      </w:r>
      <w:r>
        <w:rPr>
          <w:rFonts w:ascii="Consolas" w:hAnsi="Consolas"/>
          <w:sz w:val="20"/>
        </w:rPr>
        <w:t>rep1/complex_&lt;mutant&gt;.gro</w:t>
      </w:r>
      <w:r>
        <w:t xml:space="preserve"> and </w:t>
      </w:r>
      <w:r>
        <w:rPr>
          <w:rFonts w:ascii="Consolas" w:hAnsi="Consolas"/>
          <w:sz w:val="20"/>
        </w:rPr>
        <w:t>verify_mutant_topologies.py</w:t>
      </w:r>
      <w:r>
        <w:t xml:space="preserve">, which re-checks the atom-count identity behind the §4.5 build-warning note from those coordinates and from </w:t>
      </w:r>
      <w:r>
        <w:rPr>
          <w:rFonts w:ascii="Consolas" w:hAnsi="Consolas"/>
          <w:sz w:val="20"/>
        </w:rPr>
        <w:t>mut_ddg_results.txt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and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holds the 0–24.8 ns-window wild-type MM-GBSA output </w:t>
      </w:r>
      <w:r>
        <w:rPr>
          <w:rFonts w:ascii="Consolas" w:hAnsi="Consolas"/>
          <w:sz w:val="20"/>
        </w:rPr>
        <w:t>mmpbsa_wt_100frames.dat</w:t>
      </w:r>
      <w:r>
        <w:t xml:space="preserve">, which underlies §3.3 and supplies the deposited wild-type reference for the §4.5 scan. For the 30–50 ns-window value reported in §3.3 and §4.5 as a convergence and window-sensitivity check, it holds that window's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holds the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Generative AI use.</w:t>
      </w:r>
      <w:r>
        <w:t xml:space="preserve"> During the preparation of this work the author used a large-language-model assistant (Claude, Anthropic) to verify reference metadata, to cross-check derived numerical values against deposited analysis products, to draft verification scripts, and to edit the English language. After using this tool, the author reviewed and edited the content as needed and takes full responsibility for the publication.</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Xie J (2017) Gastrointestinal absorption and metabolic dynamics of jujuboside A, a saponin derived from the seed of </w:t>
      </w:r>
      <w:r>
        <w:rPr>
          <w:i/>
        </w:rPr>
        <w:t>Ziziphus jujuba</w:t>
      </w:r>
      <w:r>
        <w:t>. J Agric Food Chem 65:8331–8339. https://doi.org/10.1021/acs.jafc.7b02748</w:t>
      </w:r>
    </w:p>
    <w:p>
      <w:pPr>
        <w:pStyle w:val="ListNumber"/>
      </w:pPr>
      <w:r>
        <w:t>Kim M, Kim Y, Lee HW, Kim KM, Kim S, Oh S (2024) The improvement in sleep quality by Zizyphi semen in rodent models through GABAergic transmission regulation. Nutrients 16:4266. https://doi.org/10.3390/nu16244266</w:t>
      </w:r>
    </w:p>
    <w:p>
      <w:pPr>
        <w:pStyle w:val="ListNumber"/>
      </w:pPr>
      <w:r>
        <w:t>Jia X, Song Y, Li Z, Yang N, Liu T, Han D, Sun Z, Shi C, Zhou Y, Shi J, Liu Y, Guo X (2024) Melatonin regulates the circadian rhythm to ameliorate postoperative sleep disorder and neurobehavioral abnormalities in aged mice. CNS Neurosci Ther 30:e14436. https://doi.org/10.1111/cns.14436</w:t>
      </w:r>
    </w:p>
    <w:p>
      <w:pPr>
        <w:pStyle w:val="ListNumber"/>
      </w:pPr>
      <w:r>
        <w:t>Gögenur I, Wildschiøtz G, Rosenberg J (2008) Circadian distribution of sleep phases after major abdominal surgery. Br J Anaesth 100:45–49. https://doi.org/10.1093/bja/aem340</w:t>
      </w:r>
    </w:p>
    <w:p>
      <w:pPr>
        <w:pStyle w:val="ListNumber"/>
      </w:pPr>
      <w:r>
        <w:t>Yang RZ, Lin S, Huang LT, Weng J, Liu QM, Chen HS, Ruan N, Zeng K (2026) Effect of targeted probiotics on anesthesia-induced sleep disturbances via modulating the gut microbiome and metabolites. Food Sci Nutr 14:e71447. https://doi.org/10.1002/fsn3.71447</w:t>
      </w:r>
    </w:p>
    <w:p>
      <w:pPr>
        <w:pStyle w:val="ListNumber"/>
      </w:pPr>
      <w:r>
        <w:t>Kim JJ, Gharpure A, Teng J, Zhuang Y, Howard RJ, Zhu S, Noviello CM, Walsh RM Jr, Lindahl E, Hibbs RE (2020) Shared structural mechanisms of general anaesthetics and benzodiazepines. Nature 585:303–308. https://doi.org/10.1038/s41586-020-2654-5</w:t>
      </w:r>
    </w:p>
    <w:p>
      <w:pPr>
        <w:pStyle w:val="ListNumber"/>
      </w:pPr>
      <w:r>
        <w:t>Eberhardt J, Santos-Martins D, Tillack AF, Forli S (2021) AutoDock Vina 1.2.0: new docking methods, expanded force field, and Python bindings. J Chem Inf Model 61:3891–3898. https://doi.org/10.1021/acs.jcim.1c00203</w:t>
      </w:r>
    </w:p>
    <w:p>
      <w:pPr>
        <w:pStyle w:val="ListNumber"/>
      </w:pPr>
      <w:r>
        <w:t>Trott O, Olson AJ (2010) AutoDock Vina: improving the speed and accuracy of docking with a new scoring function, efficient optimization, and multithreading. J Comput Chem 31:455–461. https://doi.org/10.1002/jcc.21334</w:t>
      </w:r>
    </w:p>
    <w:p>
      <w:pPr>
        <w:pStyle w:val="ListNumber"/>
      </w:pPr>
      <w:r>
        <w:t>Sigel E, Buhr A (1997) The benzodiazepine binding site of GABA</w:t>
      </w:r>
      <w:r>
        <w:rPr>
          <w:vertAlign w:val="subscript"/>
        </w:rPr>
        <w:t>A</w:t>
      </w:r>
      <w:r>
        <w:t xml:space="preserve"> receptors. Trends Pharmacol Sci 18:425–429. https://doi.org/10.1016/S0165-6147(97)01118-8</w:t>
      </w:r>
    </w:p>
    <w:p>
      <w:pPr>
        <w:pStyle w:val="ListNumber"/>
      </w:pPr>
      <w:r>
        <w:t>Abraham MJ, Murtola T, Schulz R, Páll S, Smith JC, Hess B, Lindahl E (2015) GROMACS: high performance molecular simulations through multi-level parallelism from laptops to supercomputers. SoftwareX 1-2:19–25. https://doi.org/10.1016/j.softx.2015.06.001</w:t>
      </w:r>
    </w:p>
    <w:p>
      <w:pPr>
        <w:pStyle w:val="ListNumber"/>
      </w:pPr>
      <w:r>
        <w:t>Lindorff-Larsen K, Piana S, Palmo K, Maragakis P, Klepeis JL, Dror RO, Shaw DE (2010) Improved side-chain torsion potentials for the Amber ff99SB protein force field. Proteins 78:1950–1958. https://doi.org/10.1002/prot.22711</w:t>
      </w:r>
    </w:p>
    <w:p>
      <w:pPr>
        <w:pStyle w:val="ListNumber"/>
      </w:pPr>
      <w:r>
        <w:t>Wang J, Wolf RM, Caldwell JW, Kollman PA, Case DA (2004) Development and testing of a general Amber force field. J Comput Chem 25:1157–1174. https://doi.org/10.1002/jcc.20035</w:t>
      </w:r>
    </w:p>
    <w:p>
      <w:pPr>
        <w:pStyle w:val="ListNumber"/>
      </w:pPr>
      <w:r>
        <w:t>McGibbon RT, Beauchamp KA, Harrigan MP, Klein C, Swails JM, Hernández CX, Schwantes CR, Wang LP, Lane TJ, Pande VS (2015) MDTraj: a modern open library for the analysis of molecular dynamics trajectories. Biophys J 109:1528–1532. https://doi.org/10.1016/j.bpj.2015.08.015</w:t>
      </w:r>
    </w:p>
    <w:p>
      <w:pPr>
        <w:pStyle w:val="ListNumber"/>
      </w:pPr>
      <w:r>
        <w:t>Valdés-Tresanco MS, Valdés-Tresanco ME, Valiente PA, Moreno E (2021) gmx_MMPBSA: a new tool to perform end-state free energy calculations with GROMACS. J Chem Theory Comput 17:6281–6291. https://doi.org/10.1021/acs.jctc.1c00645</w:t>
      </w:r>
    </w:p>
    <w:p>
      <w:pPr>
        <w:pStyle w:val="ListNumber"/>
      </w:pPr>
      <w:r>
        <w:t>Fan C, Cowgill J, Howard RJ, Lindahl E (2024) Divergent mechanisms of steroid inhibition in the human ρ1 GABA</w:t>
      </w:r>
      <w:r>
        <w:rPr>
          <w:vertAlign w:val="subscript"/>
        </w:rPr>
        <w:t>A</w:t>
      </w:r>
      <w:r>
        <w:t xml:space="preserve"> receptor. Nat Commun 15:7795. https://doi.org/10.1038/s41467-024-51904-7</w:t>
      </w:r>
    </w:p>
    <w:p>
      <w:pPr>
        <w:pStyle w:val="ListNumber"/>
      </w:pPr>
      <w:r>
        <w:t>Chen CYC, Chen YF, Wu CH, Tsai HY (2008) What is the effective component in suanzaoren decoction for curing insomnia? Discovery by virtual screening and molecular dynamic simulation. J Biomol Struct Dyn 26:57–64. https://doi.org/10.1080/07391102.2008.10507223</w:t>
      </w:r>
    </w:p>
    <w:p>
      <w:pPr>
        <w:pStyle w:val="ListNumber"/>
      </w:pPr>
      <w:r>
        <w:t>Eaton MM, Lim YB, Bracamontes J, Steinbach JH, Akk G (2012) Agonist-specific conformational changes in the α1/γ2 subunit interface of the GABA</w:t>
      </w:r>
      <w:r>
        <w:rPr>
          <w:vertAlign w:val="subscript"/>
        </w:rPr>
        <w:t>A</w:t>
      </w:r>
      <w:r>
        <w:t xml:space="preserve"> receptor. Mol Pharmacol 82:255–263. https://doi.org/10.1124/mol.112.077875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