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the two groups are also spatially separate: every one of the 25 residues lies more than 12 Å from the centroid of the BZ site (the mean Cα position of those 13 residues; closest approach 14.8 Å, γ2 Asp192), and the closest residue-to-residue approach between the two sets is 11.0 Å Cα–Cα (γ2 Asp192 to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~6 kcal/mol shift from the 0–24.8 ns value, so the absolute MM-GBSA number should be read as indicative only (the 30–50 ns wild-type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is not used as the reference for the §4.5 alanine scan, which uses the deposited 0–24.8 ns value).</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while the solvated and equilibrated boxes, at more than 14 MB each, are not), MM-GBSA binding free energy was recomputed, and the change relative to the wild-type reference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was taken as ΔΔG, defined as ΔΔG = ΔG</w:t>
      </w:r>
      <w:r>
        <w:rPr>
          <w:vertAlign w:val="subscript"/>
        </w:rPr>
        <w:t>mutant</w:t>
      </w:r>
      <w:r>
        <w:t xml:space="preserve"> − ΔG</w:t>
      </w:r>
      <w:r>
        <w:rPr>
          <w:vertAlign w:val="subscript"/>
        </w:rPr>
        <w:t>WT</w:t>
      </w:r>
      <w:r>
        <w:t xml:space="preserve"> so that a positive value means the substitution is destabilising.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a 5.66 kcal/mol window dependence that is reported here as a limitation rather than hidden; because the wild-type reference enters ΔΔG only as an additive constant, re-referencing the scan to that window would shift all six values by the same +5.66 kcal/mol (to +13.98, +25.36, +35.11, +33.16, +23.24 and +22.65 respectively), leaving the ranking and every conclusion below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mmpbsa_D141A_rep2.dat</w:t>
      </w:r>
      <w:r>
        <w:t xml:space="preserve"> and </w:t>
      </w:r>
      <w:r>
        <w:rPr>
          <w:rFonts w:ascii="Consolas" w:hAnsi="Consolas"/>
          <w:sz w:val="20"/>
        </w:rPr>
        <w:t>mmpbsa_E194A_rep2.dat</w:t>
      </w:r>
      <w:r>
        <w:t xml:space="preserve"> in </w:t>
      </w:r>
      <w:r>
        <w:rPr>
          <w:rFonts w:ascii="Consolas" w:hAnsi="Consolas"/>
          <w:sz w:val="20"/>
        </w:rPr>
        <w:t>analysis/scan/rep2/</w:t>
      </w:r>
      <w:r>
        <w:t xml:space="preserve">, with the corresponding gmx_MMPBSA logs recording the command line and the 100 processed frames) gave ΔΔG of +27.44 ± 5.44 (D141A) and +13.51 ± 6.26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and is only 2.9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belong with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analysis/scan/rep2/mmpbsa_D141A_rep2.dat</w:t>
      </w:r>
      <w:r>
        <w:t xml:space="preserve"> and </w:t>
      </w:r>
      <w:r>
        <w:rPr>
          <w:rFonts w:ascii="Consolas" w:hAnsi="Consolas"/>
          <w:sz w:val="20"/>
        </w:rPr>
        <w:t>mmpbsa_E194A_rep2.dat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 5.44 kcal/mol) and E194A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v1.0.4),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(the 0–24.8 ns-window wild-type MM-GBSA output </w:t>
      </w:r>
      <w:r>
        <w:rPr>
          <w:rFonts w:ascii="Consolas" w:hAnsi="Consolas"/>
          <w:sz w:val="20"/>
        </w:rPr>
        <w:t>mmpbsa_wt_100frames.dat</w:t>
      </w:r>
      <w:r>
        <w:t xml:space="preserve">, which underlies §3.3 and supplies the deposited wild-type reference for the §4.5 scan; and, for the 30–50 ns-window value reported in §3.3 and §4.5 as a convergence and window-sensitivity check, its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