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 (membrane-absent model)</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The insomnia herb </w:t>
      </w:r>
      <w:r>
        <w:rPr>
          <w:i/>
        </w:rPr>
        <w:t>Ziziphi Spinosae Semen</w:t>
      </w:r>
      <w:r>
        <w:t xml:space="preserve"> (ZSS) modulates GABA</w:t>
      </w:r>
      <w:r>
        <w:rPr>
          <w:vertAlign w:val="subscript"/>
        </w:rPr>
        <w:t>A</w:t>
      </w:r>
      <w:r>
        <w:t>, but its site of action is untested: its saponins are poorly absorbed and the aglycone jujubogenin, not the parent glycosides, is the active species. Which site jujubogenin engages is unaddressed computationally.</w:t>
      </w:r>
    </w:p>
    <w:p>
      <w:pPr>
        <w:jc w:val="both"/>
      </w:pPr>
      <w:r>
        <w:rPr>
          <w:b/>
        </w:rPr>
        <w:t>Objective.</w:t>
      </w:r>
      <w:r>
        <w:t xml:space="preserve"> To determine in silico which GABA</w:t>
      </w:r>
      <w:r>
        <w:rPr>
          <w:vertAlign w:val="subscript"/>
        </w:rPr>
        <w:t>A</w:t>
      </w:r>
      <w:r>
        <w:t xml:space="preserve"> site jujubogenin engages and whether the resulting pose is dynamically stable.</w:t>
      </w:r>
    </w:p>
    <w:p>
      <w:pPr>
        <w:jc w:val="both"/>
      </w:pPr>
      <w:r>
        <w:rPr>
          <w:b/>
        </w:rPr>
        <w:t>Methods.</w:t>
      </w:r>
      <w:r>
        <w:t xml:space="preserve"> Jujubogenin and flumazenil were docked with AutoDock Vina at the α1/γ2 interface of the α1β2γ2 receptor (PDB 6X3Z), validated against the flumazenil co-crystal (6X3U). The best jujubogenin pose entered 24.8 ns explicit-solvent molecular dynamics with PBC imaging; binding free energy was estimated by MM-GBSA.</w:t>
      </w:r>
    </w:p>
    <w:p>
      <w:pPr>
        <w:jc w:val="both"/>
      </w:pPr>
      <w:r>
        <w:rPr>
          <w:b/>
        </w:rPr>
        <w:t>Results.</w:t>
      </w:r>
      <w:r>
        <w:t xml:space="preserve"> Flumazenil redocked into the benzodiazepine (BZ) site (−7.086 kcal/mol). Jujubogenin scored only −4.403 kcal/mol there and did not reproduce the BZ contacts; an exploratory search found a membrane-proximal α1/γ2 cavity (−8.324 kcal/mol) whose 25 contacts share none with the BZ set. Jujubogenin remained stably bound over 24.8 ns (ligand RMSD 0.42 ± 0.10 Å; backbone RMSD 2.36 ± 0.32 Å). MM-GBSA gave ΔG = −38.06 ± 2.14 kcal/mol (no entropy term).</w:t>
      </w:r>
    </w:p>
    <w:p>
      <w:pPr>
        <w:jc w:val="both"/>
      </w:pPr>
      <w:r>
        <w:rPr>
          <w:b/>
        </w:rPr>
        <w:t>Conclusions.</w:t>
      </w:r>
      <w:r>
        <w:t xml:space="preserve"> Jujubogenin is not predicted to preferentially occupy the GABA</w:t>
      </w:r>
      <w:r>
        <w:rPr>
          <w:vertAlign w:val="subscript"/>
        </w:rPr>
        <w:t>A</w:t>
      </w:r>
      <w:r>
        <w:t xml:space="preserve"> benzodiazepine site. A candidate allosteric α1/γ2-interface cavity is a stable, hypothesis-generating pose; site preference is unestablished. All energetics are computational predictions: no affinity, efficacy, functional, or clinical claim is made.</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Jujubogenin does not preferentially occupy the GABA</w:t>
      </w:r>
      <w:r>
        <w:rPr>
          <w:vertAlign w:val="subscript"/>
        </w:rPr>
        <w:t>A</w:t>
      </w:r>
      <w:r>
        <w:t xml:space="preserve"> BZ site.</w:t>
      </w:r>
    </w:p>
    <w:p>
      <w:pPr>
        <w:pStyle w:val="ListBullet"/>
      </w:pPr>
      <w:r>
        <w:t>The α1/γ2-interface cavity is a stable, candidate allosteric site.</w:t>
      </w:r>
    </w:p>
    <w:p>
      <w:pPr>
        <w:pStyle w:val="ListBullet"/>
      </w:pPr>
      <w:r>
        <w:t>The cavity and BZ poses use different boxes; site preference is unestablished.</w:t>
      </w:r>
    </w:p>
    <w:p>
      <w:pPr>
        <w:pStyle w:val="ListBullet"/>
      </w:pPr>
      <w:r>
        <w:t>Two energetics approaches give favourable, unconverged enthalpic estimates.</w:t>
      </w:r>
    </w:p>
    <w:p>
      <w:pPr>
        <w:pStyle w:val="ListBullet"/>
      </w:pPr>
      <w:r>
        <w:t>A mis-centred docking box and un-imaged trajectories are documented failure modes.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In aged mice, laparotomy under sevoflurane anaesthesia disrupts the sleep–wake rhythm and produces delirium-like behaviour [3]; continuous polysomnography in patients undergoing major abdominal surgery shows reduced night-time rapid eye movement (REM) sleep across the first two postoperative nights, with sleep displaced into the daytime [4]. These disturbances are a plausible contributor to delayed recovery. A microbiota-focused study has reported associations between the gut microbiome and PSD [5],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and in rodent models the seed extract and its characteristic saponin jujuboside A prolong sleep while the extract extends non-rapid eye movement sleep, with the effect traced to GABA</w:t>
      </w:r>
      <w:r>
        <w:rPr>
          <w:vertAlign w:val="subscript"/>
        </w:rPr>
        <w:t>A</w:t>
      </w:r>
      <w:r>
        <w:t>-ergic transmission [2]. The pharmacokinetics nevertheless redirect the mechanistic question. Jujuboside A has an oral bioavailability of approximately 1.32%, and hydrolysis is predominantly gastric rather than microbiota-dependent [1]. The species reported to modulate GABA</w:t>
      </w:r>
      <w:r>
        <w:rPr>
          <w:vertAlign w:val="subscript"/>
        </w:rPr>
        <w:t>A</w:t>
      </w:r>
      <w:r>
        <w:t xml:space="preserve"> receptors are jujuboside B and the aglycone </w:t>
      </w:r>
      <w:r>
        <w:rPr>
          <w:b/>
        </w:rPr>
        <w:t>jujubogenin</w:t>
      </w:r>
      <w:r>
        <w:t>, not the parent glycoside [1].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[6]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[7, 8] was used. </w:t>
      </w:r>
      <w:r>
        <w:rPr>
          <w:b/>
        </w:rPr>
        <w:t>The search box was validated before any biological interpretation was drawn.</w:t>
      </w:r>
      <w:r>
        <w:t xml:space="preserve"> The reference BZ site was defined from the flumazenil co-crystal structure (PDB 6X3U; human α1β2γ2 + GABA + flumazenil, ligand residue FYP) [6]: protein residues within 4 Å of the bound flumazenil were α1 SER159, PHE100, HIS102, TYR160, VAL203, SER205, SER206, THR207, TYR210 and γ2 TYR58, ALA79, PHE77, THR142: the classical benzodiazepine-site residue set [9].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[10], GPU build, CUDA</w:t>
            </w:r>
          </w:p>
        </w:tc>
      </w:tr>
      <w:tr>
        <w:tc>
          <w:tcPr>
            <w:tcW w:type="dxa" w:w="4680"/>
          </w:tcPr>
          <w:p>
            <w:r>
              <w:rPr>
                <w:sz w:val="20"/>
              </w:rPr>
            </w:r>
            <w:r>
              <w:rPr>
                <w:sz w:val="20"/>
              </w:rPr>
              <w:t>Protein force field</w:t>
            </w:r>
          </w:p>
        </w:tc>
        <w:tc>
          <w:tcPr>
            <w:tcW w:type="dxa" w:w="4680"/>
          </w:tcPr>
          <w:p>
            <w:r>
              <w:rPr>
                <w:sz w:val="20"/>
              </w:rPr>
            </w:r>
            <w:r>
              <w:rPr>
                <w:sz w:val="20"/>
              </w:rPr>
              <w:t>amber99sb-ildn [11]</w:t>
            </w:r>
          </w:p>
        </w:tc>
      </w:tr>
      <w:tr>
        <w:tc>
          <w:tcPr>
            <w:tcW w:type="dxa" w:w="4680"/>
          </w:tcPr>
          <w:p>
            <w:r>
              <w:rPr>
                <w:sz w:val="20"/>
              </w:rPr>
            </w:r>
            <w:r>
              <w:rPr>
                <w:sz w:val="20"/>
              </w:rPr>
              <w:t>Ligand parameters</w:t>
            </w:r>
          </w:p>
        </w:tc>
        <w:tc>
          <w:tcPr>
            <w:tcW w:type="dxa" w:w="4680"/>
          </w:tcPr>
          <w:p>
            <w:r>
              <w:rPr>
                <w:sz w:val="20"/>
              </w:rPr>
            </w:r>
            <w:r>
              <w:rPr>
                <w:sz w:val="20"/>
              </w:rPr>
              <w:t>GAFF2 [12],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first run was terminated early by the host platform sending SIGTERM at </w:t>
      </w:r>
      <w:r>
        <w:rPr>
          <w:b/>
        </w:rPr>
        <w:t>step 12,420,100 (24.84 ns)</w:t>
      </w:r>
      <w:r>
        <w:t xml:space="preserve">; GROMACS shut down cleanly and wrote a complete, uncorrupted 24.8 ns trajectory, which is the primary basis of §3.1–3.3. A continuation run towards 100 ns was subsequently started and </w:t>
      </w:r>
      <w:r>
        <w:rPr>
          <w:b/>
        </w:rPr>
        <w:t>completed to 100 ns (2001 frames at 50 ps; verified by gmx check)</w:t>
      </w:r>
      <w:r>
        <w:t>. The continuation supplies no primary metric for §3.1–3.3 and is used only as a convergence and reference check: the 30–50 ns MM-GBSA window comparison in §3.3 and the wild-type reference for the alanine scan in §4.5 both come from it, and a 100-frame MM-GBSA drawn from the continuation reproduces −38.06 ± 2.14 kcal/mol, identical to the 0–24.8 ns window, indicating the binding estimate is insensitive to the additional sampling. The full 100 ns trajectory required periodic-boundary re-imaging (gmx trjconv -pbc whole -center) before stability analysis because a subset of frames exhibited imaging artefacts (spurious &gt;60 Å backbone RMSD that arose from a system-wide rather than protein-only fit); the quantitative stability claim in §3.2 is therefore anchored on the artefact-free 0–24.8 ns window.</w:t>
      </w:r>
    </w:p>
    <w:p>
      <w:pPr>
        <w:pStyle w:val="Heading2"/>
      </w:pPr>
      <w:r>
        <w:rPr>
          <w:b/>
          <w:color w:val="000000"/>
        </w:rPr>
        <w:t>2.4 Trajectory analysis</w:t>
      </w:r>
    </w:p>
    <w:p>
      <w:pPr>
        <w:jc w:val="both"/>
      </w:pPr>
      <w:r>
        <w:t>Analysis used MDTraj [13]. Two steps in the analysis changed the results materially, so both are stated explicitly:</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[14]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The two groups are also spatially separate. Every one of the 25 residues lies more than 12 Å from the centroid of the BZ site, defined as the mean Cα position of those 13 residues; the closest approach is 14.8 Å, at γ2 Asp192. The closest residue-to-residue approach between the two sets is 11.0 Å Cα–Cα, between γ2 Asp192 and γ2 Tyr58.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Jujubogenin stays within 0.42 ± 0.10 Å of its docked pose, and the ligand–pocket centroid distance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+19.42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xml:space="preserve">. The continued trajectory's 30–50 ns window yields −32.40 ± 1.73 kcal/mol, a shift of about 6 kcal/mol from the 0–24.8 ns value, so the absolute MM-GBSA number should be read as indicative only. That 30–50 ns estimate is backed by its own retained gmx_MMPBSA output, </w:t>
      </w:r>
      <w:r>
        <w:rPr>
          <w:rFonts w:ascii="Consolas" w:hAnsi="Consolas"/>
          <w:sz w:val="20"/>
        </w:rPr>
        <w:t>analysis/wt/mmpbsa_wt_matched_30to50ns.dat</w:t>
      </w:r>
      <w:r>
        <w:t>, and the committed regeneration recipe with its control run remains deposited as an independent cross-check. It is reported here as a convergence check only, and the §4.5 alanine scan uses the deposited 0–24.8 ns value as its reference instead.</w:t>
      </w:r>
    </w:p>
    <w:p>
      <w:pPr>
        <w:pStyle w:val="Heading1"/>
      </w:pPr>
      <w:r>
        <w:rPr>
          <w:b/>
          <w:color w:val="000000"/>
        </w:rPr>
        <w:t>4. Discussion</w:t>
      </w:r>
    </w:p>
    <w:p>
      <w:pPr>
        <w:pStyle w:val="Heading2"/>
      </w:pPr>
      <w:r>
        <w:rPr>
          <w:b/>
          <w:color w:val="000000"/>
        </w:rPr>
        <w:t>4.1 What this study adds</w:t>
      </w:r>
    </w:p>
    <w:p>
      <w:pPr>
        <w:jc w:val="both"/>
      </w:pPr>
      <w:r>
        <w:t xml:space="preserve">Three findings.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jc w:val="both"/>
      </w:pPr>
      <w:r>
        <w:t>Ligand binding at a transmembrane or ECD–TMD-junction pocket in this receptor class has precedent. Cryo-EM structures of the α1β2γ2 receptor resolve etomidate and propofol at the two β+/α− transmembrane interfaces, phenobarbital at distinct sites in the same domain, and diazepam both at its classical extracellular α+/γ− site and at lower-affinity transmembrane sites in the β+/α− and γ+/β− interfaces [6]. No ligand density was reported at the α+/γ− transmembrane face in those structures, which is where the cavity modelled here lies. More directly, Fan et al. [15] showed that β-estradiol occupies a pocket at the ECD–TMD interface of the human ρ1 GABA</w:t>
      </w:r>
      <w:r>
        <w:rPr>
          <w:vertAlign w:val="subscript"/>
        </w:rPr>
        <w:t>A</w:t>
      </w:r>
      <w:r>
        <w:t xml:space="preserve"> receptor and disrupts the allosteric transition that couples GABA binding to pore opening. That is the interface class to which the present candidate cavity belongs. Published structures therefore support transmembrane and ECD–TMD pockets at the β+/α− and γ+/β− interfaces, but not yet at α+/γ−. We did not search the structural literature systematically, so that statement rests on the structures cited here and on our reading of them. On that basis the cavity is worth testing. It remains a hypothesis, because this study provides no functional evidence for it.</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One transparency note on mutant construction is needed. For 5 of the 6 in-silico mutants the topology-build step (tleap) returned a non-zero exit code (exit = 1). The substitution was nevertheless verified quantitatively: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That atom-count identity is re-checked from the deposited files, not from the pipeline log, by </w:t>
      </w:r>
      <w:r>
        <w:rPr>
          <w:rFonts w:ascii="Consolas" w:hAnsi="Consolas"/>
          <w:sz w:val="20"/>
        </w:rPr>
        <w:t>verify_mutant_topologies.py</w:t>
      </w:r>
      <w:r>
        <w:t xml:space="preserve">, which reads each </w:t>
      </w:r>
      <w:r>
        <w:rPr>
          <w:rFonts w:ascii="Consolas" w:hAnsi="Consolas"/>
          <w:sz w:val="20"/>
        </w:rPr>
        <w:t>rep1/complex_&lt;mutant&gt;.gro</w:t>
      </w:r>
      <w:r>
        <w:t xml:space="preserve"> and confirms two independent equalities for all six mutants: the complex atom count equals receptor plus ligand (82 atoms for jujubogenin), and the wild-type count minus the built receptor count equals the substitution difference quoted above; the two MET→ALA mutants are additionally confirmed to carry the same receptor count. The scan results are shown in Fig. 3. For each mutant the alanine-substituted complex was re-simulated for 20 ns under the protocol of §2.3. The pipeline log records fresh minimisation, NVT and NPT equilibration for the five newly built mutants. The coordinates built by tleap for each mutant are deposited as </w:t>
      </w:r>
      <w:r>
        <w:rPr>
          <w:rFonts w:ascii="Consolas" w:hAnsi="Consolas"/>
          <w:sz w:val="20"/>
        </w:rPr>
        <w:t>rep1/complex_&lt;mutant&gt;.gro</w:t>
      </w:r>
      <w:r>
        <w:t>; the solvated and equilibrated boxes, at more than 14 MB each, are not. MM-GBSA binding free energy was recomputed, and the change relative to the wild-type reference was taken as ΔΔG, defined as ΔΔG = ΔG</w:t>
      </w:r>
      <w:r>
        <w:rPr>
          <w:vertAlign w:val="subscript"/>
        </w:rPr>
        <w:t>mutant</w:t>
      </w:r>
      <w:r>
        <w:t xml:space="preserve"> − ΔG</w:t>
      </w:r>
      <w:r>
        <w:rPr>
          <w:vertAlign w:val="subscript"/>
        </w:rPr>
        <w:t>WT</w:t>
      </w:r>
      <w:r>
        <w:t xml:space="preserve"> so that a positive value means the substitution is destabilising. The wild-type reference is ΔG</w:t>
      </w:r>
      <w:r>
        <w:rPr>
          <w:vertAlign w:val="subscript"/>
        </w:rPr>
        <w:t>WT</w:t>
      </w:r>
      <w:r>
        <w:t xml:space="preserve"> = −38.06 ± 2.14 kcal/mol, the 0–24.8 ns value that is also the binding-energy result of §3.3 and whose MM-GBSA output </w:t>
      </w:r>
      <w:r>
        <w:rPr>
          <w:rFonts w:ascii="Consolas" w:hAnsi="Consolas"/>
          <w:sz w:val="20"/>
        </w:rPr>
        <w:t>mmpbsa_wt_100frames.dat</w:t>
      </w:r>
      <w:r>
        <w:t xml:space="preserve"> is deposited in the reproducibility repository. Each of the nine binding free energies entering this comparison (six first replicas, two independently seeded second replicas and the wild-type reference) is backed by a retained gmx_MMPBSA output file, so every number in the table below is re-derivable from the deposits. An asymmetry in this comparison must be stated: the wild-type reference is drawn from the 24.8 ns primary trajectory, whereas each mutant ΔG is computed from an independent 20 ns re-simulation, so the two are not matched in sampling length (24.8 versus 20 ns) and the resulting ΔΔG inherits that asymmetry on top of the single-replica noise quantified below. A second wild-type estimate exists from the continued trajectory's 30–50 ns window (ΔG</w:t>
      </w:r>
      <w:r>
        <w:rPr>
          <w:vertAlign w:val="subscript"/>
        </w:rPr>
        <w:t>WT</w:t>
      </w:r>
      <w:r>
        <w:t xml:space="preserve"> = −32.40 ± 1.73 kcal/mol). The 5.66 kcal/mol difference between the two windows is reported here rather than hidden. Because the wild-type reference enters ΔΔG only as an additive constant, re-referencing the scan to the 30–50 ns window would shift all six values by the same −5.66 kcal/mol, giving +8.32, +19.70, +29.45, +27.50, +17.58 and +16.99 respectively. The ranking and every conclusion below are unchanged, so the choice of window does not affect the directional reading. That 30–50 ns estimate is backed by a retained output of its own, </w:t>
      </w:r>
      <w:r>
        <w:rPr>
          <w:rFonts w:ascii="Consolas" w:hAnsi="Consolas"/>
          <w:sz w:val="20"/>
        </w:rPr>
        <w:t>analysis/wt/mmpbsa_wt_matched_30to50ns.dat</w:t>
      </w:r>
      <w:r>
        <w:t xml:space="preserve"> (gmx_MMPBSA, 100 complex frames); its input trajectory </w:t>
      </w:r>
      <w:r>
        <w:rPr>
          <w:rFonts w:ascii="Consolas" w:hAnsi="Consolas"/>
          <w:sz w:val="20"/>
        </w:rPr>
        <w:t>wt_30to50ns_200ps.xtc</w:t>
      </w:r>
      <w:r>
        <w:t xml:space="preserve"> (100 frames at 200 ps, built from the continued run) and the verbatim protocol that produced it (</w:t>
      </w:r>
      <w:r>
        <w:rPr>
          <w:rFonts w:ascii="Consolas" w:hAnsi="Consolas"/>
          <w:sz w:val="20"/>
        </w:rPr>
        <w:t>analysis/wt/REGENERATE_WT_30to50ns.md</w:t>
      </w:r>
      <w:r>
        <w:t>, with a control run that reproduces the deposited 0–24.8 ns value) are retained alongside it. Both windows are reported so the reader can see the sensitivity; the scan's ΔΔG values use the 0–24.8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M141A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+13.98 ± 4.79</w:t>
            </w:r>
          </w:p>
        </w:tc>
      </w:tr>
      <w:tr>
        <w:tc>
          <w:tcPr>
            <w:tcW w:type="dxa" w:w="1872"/>
          </w:tcPr>
          <w:p>
            <w:r>
              <w:rPr>
                <w:sz w:val="20"/>
              </w:rPr>
            </w:r>
            <w:r>
              <w:rPr>
                <w:sz w:val="20"/>
              </w:rPr>
              <w:t>M81A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+25.36 ± 4.07</w:t>
            </w:r>
          </w:p>
        </w:tc>
      </w:tr>
      <w:tr>
        <w:tc>
          <w:tcPr>
            <w:tcW w:type="dxa" w:w="1872"/>
          </w:tcPr>
          <w:p>
            <w:r>
              <w:rPr>
                <w:sz w:val="20"/>
              </w:rPr>
            </w:r>
            <w:r>
              <w:rPr>
                <w:sz w:val="20"/>
              </w:rPr>
              <w:t>R194A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+35.11 ± 3.38</w:t>
            </w:r>
          </w:p>
        </w:tc>
      </w:tr>
      <w:tr>
        <w:tc>
          <w:tcPr>
            <w:tcW w:type="dxa" w:w="1872"/>
          </w:tcPr>
          <w:p>
            <w:r>
              <w:rPr>
                <w:sz w:val="20"/>
              </w:rPr>
            </w:r>
            <w:r>
              <w:rPr>
                <w:sz w:val="20"/>
              </w:rPr>
              <w:t>L198A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+33.16 ± 10.01</w:t>
            </w:r>
          </w:p>
        </w:tc>
      </w:tr>
      <w:tr>
        <w:tc>
          <w:tcPr>
            <w:tcW w:type="dxa" w:w="1872"/>
          </w:tcPr>
          <w:p>
            <w:r>
              <w:rPr>
                <w:sz w:val="20"/>
              </w:rPr>
            </w:r>
            <w:r>
              <w:rPr>
                <w:sz w:val="20"/>
              </w:rPr>
              <w:t>S202A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+23.24 ± 2.34</w:t>
            </w:r>
          </w:p>
        </w:tc>
      </w:tr>
      <w:tr>
        <w:tc>
          <w:tcPr>
            <w:tcW w:type="dxa" w:w="1872"/>
          </w:tcPr>
          <w:p>
            <w:r>
              <w:rPr>
                <w:sz w:val="20"/>
              </w:rPr>
            </w:r>
            <w:r>
              <w:rPr>
                <w:sz w:val="20"/>
              </w:rPr>
              <w:t>V29A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+22.65 ± 2.75</w:t>
            </w:r>
          </w:p>
        </w:tc>
      </w:tr>
    </w:tbl>
    <w:p/>
    <w:p>
      <w:pPr>
        <w:jc w:val="both"/>
      </w:pPr>
      <w:r>
        <w:t>ΔΔG uncertainties are propagated from the mutant and wild-type propagated standard deviations (the gmx_MMPBSA SD(Prop.) column; the per-frame sample standard deviations printed beside it in the same outputs are larger, 4.04 to 12.00 kcal/mol)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(20 ns, regenerated velocities; outputs </w:t>
      </w:r>
      <w:r>
        <w:rPr>
          <w:rFonts w:ascii="Consolas" w:hAnsi="Consolas"/>
          <w:sz w:val="20"/>
        </w:rPr>
        <w:t>mmpbsa_M141A_rep2.dat</w:t>
      </w:r>
      <w:r>
        <w:t xml:space="preserve"> and </w:t>
      </w:r>
      <w:r>
        <w:rPr>
          <w:rFonts w:ascii="Consolas" w:hAnsi="Consolas"/>
          <w:sz w:val="20"/>
        </w:rPr>
        <w:t>mmpbsa_R194A_rep2.dat</w:t>
      </w:r>
      <w:r>
        <w:t xml:space="preserve"> in </w:t>
      </w:r>
      <w:r>
        <w:rPr>
          <w:rFonts w:ascii="Consolas" w:hAnsi="Consolas"/>
          <w:sz w:val="20"/>
        </w:rPr>
        <w:t>analysis/scan/rep2/</w:t>
      </w:r>
      <w:r>
        <w:t xml:space="preserve">, with the corresponding gmx_MMPBSA logs recording the command line and the 100 processed frames) gave ΔΔG of +27.44 ± 5.44 (M141A) and +13.51 ± 6.26 (R194A)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+14 to +35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M81A and V29A the complex and receptor electrostatic terms were identical to three significant figures, giving ΔG</w:t>
      </w:r>
      <w:r>
        <w:rPr>
          <w:vertAlign w:val="subscript"/>
        </w:rPr>
        <w:t>res</w:t>
      </w:r>
      <w:r>
        <w:t xml:space="preserve"> = 0 exactly). The large ΔΔG values (up to +35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M81A and V29A lie well outside the ligand contact distance, so their large positive ΔΔG (+25.36 and +22.65 kcal/mol) cannot arise from lost contact and are identified as sampling artefacts, setting a pseudopositive floor of roughly +23 to +25 kcal/mol for this design. Against that floor only γ2 ARG194 (+35.11) and γ2 LEU198 (+33.16) rise clearly above it; γ2 SER202 (+23.24) is marginal, sitting above the lower control but below the upper one, and α1 MET141 (+13.98) falls below both controls, at 2.9 times its own propagated standard deviation. No residue-level hotspot conclusion is defensible from this scan. The only doubly sampled residue, R194A, flips across the pseudopositive floor between replicas (+35.11 in replica 1 versus +13.51 in replica 2), and the per-residue decomposition shows the ΔΔG is dominated by non-contact-attributable sampling error rather than a lost specific contact. The scan is therefore retained only as a transparency exercise documenting the magnitude of single-trajectory MM-GBSA sampling noise, not as evidence for a particular contact residue.</w:t>
      </w:r>
    </w:p>
    <w:p>
      <w:pPr>
        <w:jc w:val="both"/>
      </w:pPr>
      <w:r>
        <w:t xml:space="preserve">One completeness limitation should be noted.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apply to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xml:space="preserve">. Every one of the nine binding free energies behind this table and Fig. 3 is recomputed from the deposited outputs by </w:t>
      </w:r>
      <w:r>
        <w:rPr>
          <w:rFonts w:ascii="Consolas" w:hAnsi="Consolas"/>
          <w:sz w:val="20"/>
        </w:rPr>
        <w:t>analysis/scan/verify_all_dG_outputs.py</w:t>
      </w:r>
      <w:r>
        <w:t xml:space="preserve">, which reproduces each tabulated value exactly: the six first-replica values by </w:t>
      </w:r>
      <w:r>
        <w:rPr>
          <w:rFonts w:ascii="Consolas" w:hAnsi="Consolas"/>
          <w:sz w:val="20"/>
        </w:rPr>
        <w:t>analysis/scan/rep1/mmpbsa_&lt;mutant&gt;.dat</w:t>
      </w:r>
      <w:r>
        <w:t xml:space="preserve">, the two independently seeded replica values by </w:t>
      </w:r>
      <w:r>
        <w:rPr>
          <w:rFonts w:ascii="Consolas" w:hAnsi="Consolas"/>
          <w:sz w:val="20"/>
        </w:rPr>
        <w:t>analysis/scan/rep2/mmpbsa_M141A_rep2.dat</w:t>
      </w:r>
      <w:r>
        <w:t xml:space="preserve"> and </w:t>
      </w:r>
      <w:r>
        <w:rPr>
          <w:rFonts w:ascii="Consolas" w:hAnsi="Consolas"/>
          <w:sz w:val="20"/>
        </w:rPr>
        <w:t>mmpbsa_R194A_rep2.dat</w:t>
      </w:r>
      <w:r>
        <w:t xml:space="preserve">, and the wild-type reference used in this table (ΔG = −38.06 ± 2.14 kcal/mol, 0–24.8 ns window) by the deposited </w:t>
      </w:r>
      <w:r>
        <w:rPr>
          <w:rFonts w:ascii="Consolas" w:hAnsi="Consolas"/>
          <w:sz w:val="20"/>
        </w:rPr>
        <w:t>mmpbsa_wt_100frames.dat</w:t>
      </w:r>
      <w:r>
        <w:t xml:space="preserve">. The alternative 30–50 ns window value (−32.40 ± 1.73 kcal/mol, a 5.66 kcal/mol window dependence) is likewise backed by a deposited output, </w:t>
      </w:r>
      <w:r>
        <w:rPr>
          <w:rFonts w:ascii="Consolas" w:hAnsi="Consolas"/>
          <w:sz w:val="20"/>
        </w:rPr>
        <w:t>analysis/wt/mmpbsa_wt_matched_30to50ns.dat</w:t>
      </w:r>
      <w:r>
        <w:t>, and would shift all six ΔΔG values by the same −5.66 kcal/mol without changing their ranking.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survives independent sampling rather than resting on a single trajectory, and longer sampling would support a proper entropy estimate. The directional signal at the two γ2 residues (ARG194, LEU198)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2"/>
      </w:pPr>
      <w:r>
        <w:rPr>
          <w:b/>
          <w:color w:val="000000"/>
        </w:rPr>
        <w:t>4.6 Relation to prior in silico models of jujubogenin action</w:t>
      </w:r>
    </w:p>
    <w:p>
      <w:pPr>
        <w:jc w:val="both"/>
      </w:pPr>
      <w:r>
        <w:t>Two earlier computational studies frame the present result, and each is stated so as not to overstate agreement.</w:t>
      </w:r>
    </w:p>
    <w:p>
      <w:pPr>
        <w:jc w:val="both"/>
      </w:pPr>
      <w:r>
        <w:rPr>
          <w:b/>
        </w:rPr>
        <w:t>Chen et al. [16] predicted an orthosteric GABA-site mode.</w:t>
      </w:r>
      <w:r>
        <w:t xml:space="preserve"> Using a homology-model-built GABA</w:t>
      </w:r>
      <w:r>
        <w:rPr>
          <w:vertAlign w:val="subscript"/>
        </w:rPr>
        <w:t>A</w:t>
      </w:r>
      <w:r>
        <w:t xml:space="preserve"> receptor, Chen, Chen, Wu and Tsai [16] reported that jujubogenin forms two hydrogen bonds with β2 Thr226 and β2 Tyr229 at the orthosteric GABA site. That prediction was made on a modelled receptor and was not validated against a crystal structure. The present study used the crystal-guided α1β2γ2 structure (PDB 6X3Z) and asked a different question: does jujubogenin preferentially occupy the benzodiazepine site, and if not, where. It did </w:t>
      </w:r>
      <w:r>
        <w:rPr>
          <w:b/>
        </w:rPr>
        <w:t>not</w:t>
      </w:r>
      <w:r>
        <w:t xml:space="preserve"> test the orthosteric β2 site. The two studies are therefore orthogonal. Both are consistent with jujubogenin being a plausible GABA</w:t>
      </w:r>
      <w:r>
        <w:rPr>
          <w:vertAlign w:val="subscript"/>
        </w:rPr>
        <w:t>A</w:t>
      </w:r>
      <w:r>
        <w:t xml:space="preserve"> ligand, but at different sites, and the present work neither confirms nor refutes the Chen et al. [16] orthosteric assignment.</w:t>
      </w:r>
    </w:p>
    <w:p>
      <w:pPr>
        <w:jc w:val="both"/>
      </w:pPr>
      <w:r>
        <w:rPr>
          <w:b/>
        </w:rPr>
        <w:t>One point of convergence with experiment is encouraging but not confirmatory.</w:t>
      </w:r>
      <w:r>
        <w:t xml:space="preserve"> γ2 Ser195, which the present MD identifies as a cavity-contact residue (§3.1), is the same position that Eaton et al. [17] used as a substituted-cysteine (loop F) probe of the α1/γ2 interface: modification of γ2(S195C) potentiated current in the presence of GABA, pentobarbital and etomidate, the agonist-specific signal being the rate of modification (etomidate modified faster than pentobarbital, gabazine or the resting state), indicating that this interface region transmits agonist-specific conformational change. That the candidate cavity contacts a residue already known to report on α1/γ2 interfacial motion is a useful cross-check. It is not proof of binding, because the experimental probe sits in the extracellular domain whereas the present cavity model spans the ECD–TMD junction, and the overlap is at the level of a single shared residue.</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That cavity has 25 contact residues, none shared with the classical benzodiazepine set, and lies 23.1 Å from that site. Jujubogenin remains stably bound there for 24.8 ns, with a ligand heavy-atom RMSD of 0.42 ± 0.10 Å. The relative preference between the two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 xml:space="preserve">Figure 3. In-silico alanine scan of the cavity hotspots (§4.5). Bars show ΔΔG relative to the wild-type reference (WT ΔG = −38.06 ± 2.14 kcal/mol, the 0–24.8 ns window whose MM-GBSA output is deposited; the 30–50 ns window, whose output is deposited as well, would shift every bar by the same −5.66 kcal/mol);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residues (R194A, L198A) rise clearly above that floor. Diamonds: independently seeded replicas of M141A (+27.44 ± 5.44 kcal/mol) and R194A (+13.51 ± 6.26 kcal/mol), both backed by retained outputs in </w:t>
      </w:r>
      <w:r>
        <w:rPr>
          <w:rFonts w:ascii="Consolas" w:hAnsi="Consolas"/>
          <w:sz w:val="20"/>
        </w:rPr>
        <w:t>analysis/scan/rep2/</w:t>
      </w:r>
      <w:r>
        <w:rPr>
          <w:sz w:val="20"/>
        </w:rPr>
        <w:t>;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v1.0.11),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gmx_MMPBSA output files of all six first replicas </w:t>
      </w:r>
      <w:r>
        <w:rPr>
          <w:rFonts w:ascii="Consolas" w:hAnsi="Consolas"/>
          <w:sz w:val="20"/>
        </w:rPr>
        <w:t>rep1/mmpbsa_&lt;mutant&gt;.dat</w:t>
      </w:r>
      <w:r>
        <w:t xml:space="preserve"> and of both independently seeded second replicas </w:t>
      </w:r>
      <w:r>
        <w:rPr>
          <w:rFonts w:ascii="Consolas" w:hAnsi="Consolas"/>
          <w:sz w:val="20"/>
        </w:rPr>
        <w:t>rep2/mmpbsa_&lt;mutant&gt;_rep2.dat</w:t>
      </w:r>
      <w:r>
        <w:t xml:space="preserve">, with </w:t>
      </w:r>
      <w:r>
        <w:rPr>
          <w:rFonts w:ascii="Consolas" w:hAnsi="Consolas"/>
          <w:sz w:val="20"/>
        </w:rPr>
        <w:t>rep2/gmx_MMPBSA_&lt;mutant&gt;_rep2.log</w:t>
      </w:r>
      <w:r>
        <w:t xml:space="preserve"> recording the command line and the 100 processed frames; </w:t>
      </w:r>
      <w:r>
        <w:rPr>
          <w:rFonts w:ascii="Consolas" w:hAnsi="Consolas"/>
          <w:sz w:val="20"/>
        </w:rPr>
        <w:t>verify_all_dG_outputs.py</w:t>
      </w:r>
      <w:r>
        <w:t xml:space="preserve">, which recomputes every binding free energy and every ΔΔG in §4.5 and Fig. 3 from those outputs; the tleap-built starting coordinates of all six mutants </w:t>
      </w:r>
      <w:r>
        <w:rPr>
          <w:rFonts w:ascii="Consolas" w:hAnsi="Consolas"/>
          <w:sz w:val="20"/>
        </w:rPr>
        <w:t>rep1/complex_&lt;mutant&gt;.gro</w:t>
      </w:r>
      <w:r>
        <w:t xml:space="preserve"> and </w:t>
      </w:r>
      <w:r>
        <w:rPr>
          <w:rFonts w:ascii="Consolas" w:hAnsi="Consolas"/>
          <w:sz w:val="20"/>
        </w:rPr>
        <w:t>verify_mutant_topologies.py</w:t>
      </w:r>
      <w:r>
        <w:t xml:space="preserve">, which re-checks the atom-count identity behind the §4.5 build-warning note from those coordinates and from </w:t>
      </w:r>
      <w:r>
        <w:rPr>
          <w:rFonts w:ascii="Consolas" w:hAnsi="Consolas"/>
          <w:sz w:val="20"/>
        </w:rPr>
        <w:t>mut_ddg_results.txt</w:t>
      </w:r>
      <w:r>
        <w:t xml:space="preserve">;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and </w:t>
      </w:r>
      <w:r>
        <w:rPr>
          <w:rFonts w:ascii="Consolas" w:hAnsi="Consolas"/>
          <w:sz w:val="20"/>
        </w:rPr>
        <w:t>diag_summary.json</w:t>
      </w:r>
      <w:r>
        <w:t xml:space="preserve">; and </w:t>
      </w:r>
      <w:r>
        <w:rPr>
          <w:rFonts w:ascii="Consolas" w:hAnsi="Consolas"/>
          <w:sz w:val="20"/>
        </w:rPr>
        <w:t>verify_bz_separation.py</w:t>
      </w:r>
      <w:r>
        <w:t xml:space="preserve">, which reproduces the §3.1 contact-set/BZ-set separation geometry from the deposited 6X3Z coordinates (closest Cα–Cα approach 11.0 Å between γ2 Asp192 and γ2 Tyr58; all 25 contact residues beyond 12 Å of the BZ-site centroid)). </w:t>
      </w:r>
      <w:r>
        <w:rPr>
          <w:rFonts w:ascii="Consolas" w:hAnsi="Consolas"/>
          <w:sz w:val="20"/>
        </w:rPr>
        <w:t>analysis/wt/</w:t>
      </w:r>
      <w:r>
        <w:t xml:space="preserve"> holds the 0–24.8 ns-window wild-type MM-GBSA output </w:t>
      </w:r>
      <w:r>
        <w:rPr>
          <w:rFonts w:ascii="Consolas" w:hAnsi="Consolas"/>
          <w:sz w:val="20"/>
        </w:rPr>
        <w:t>mmpbsa_wt_100frames.dat</w:t>
      </w:r>
      <w:r>
        <w:t xml:space="preserve">, which underlies §3.3 and supplies the deposited wild-type reference for the §4.5 scan. For the 30–50 ns-window value reported in §3.3 and §4.5 as a convergence and window-sensitivity check, it holds that window's own output </w:t>
      </w:r>
      <w:r>
        <w:rPr>
          <w:rFonts w:ascii="Consolas" w:hAnsi="Consolas"/>
          <w:sz w:val="20"/>
        </w:rPr>
        <w:t>mmpbsa_wt_matched_30to50ns.dat</w:t>
      </w:r>
      <w:r>
        <w:t xml:space="preserve"> (100 complex frames), the retained input trajectory </w:t>
      </w:r>
      <w:r>
        <w:rPr>
          <w:rFonts w:ascii="Consolas" w:hAnsi="Consolas"/>
          <w:sz w:val="20"/>
        </w:rPr>
        <w:t>wt_30to50ns_200ps.xtc</w:t>
      </w:r>
      <w:r>
        <w:t xml:space="preserve">, and the verbatim regeneration recipe </w:t>
      </w:r>
      <w:r>
        <w:rPr>
          <w:rFonts w:ascii="Consolas" w:hAnsi="Consolas"/>
          <w:sz w:val="20"/>
        </w:rPr>
        <w:t>REGENERATE_WT_30to50ns.md</w:t>
      </w:r>
      <w:r>
        <w:t xml:space="preserve"> with its control run. </w:t>
      </w:r>
      <w:r>
        <w:rPr>
          <w:rFonts w:ascii="Consolas" w:hAnsi="Consolas"/>
          <w:sz w:val="20"/>
        </w:rPr>
        <w:t>figures/</w:t>
      </w:r>
      <w:r>
        <w:t xml:space="preserve"> holds the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exceed the repository's per-file size limit, so they are not deposited; the deposited analysis pipeline and derived products are sufficient to reproduce every number in this manuscript without them. A frozen copy of the repository, including every derived product and verification script named above, is archived at Zenodo (&lt;https://doi.org/10.5281/zenodo.23602221&gt;).</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Generative AI use.</w:t>
      </w:r>
      <w:r>
        <w:t xml:space="preserve"> During the preparation of this work the author used a large-language-model assistant (Claude, Anthropic) to verify reference metadata, to cross-check derived numerical values against deposited analysis products, to draft verification scripts, and to edit the English language. After using this tool, the author reviewed and edited the content as needed and takes full responsibility for the publication.</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Xie J (2017) Gastrointestinal absorption and metabolic dynamics of jujuboside A, a saponin derived from the seed of </w:t>
      </w:r>
      <w:r>
        <w:rPr>
          <w:i/>
        </w:rPr>
        <w:t>Ziziphus jujuba</w:t>
      </w:r>
      <w:r>
        <w:t>. J Agric Food Chem 65:8331–8339. https://doi.org/10.1021/acs.jafc.7b02748</w:t>
      </w:r>
    </w:p>
    <w:p>
      <w:pPr>
        <w:pStyle w:val="ListNumber"/>
      </w:pPr>
      <w:r>
        <w:t>Kim M, Kim Y, Lee HW, Kim KM, Kim S, Oh S (2024) The improvement in sleep quality by Zizyphi semen in rodent models through GABAergic transmission regulation. Nutrients 16:4266. https://doi.org/10.3390/nu16244266</w:t>
      </w:r>
    </w:p>
    <w:p>
      <w:pPr>
        <w:pStyle w:val="ListNumber"/>
      </w:pPr>
      <w:r>
        <w:t>Jia X, Song Y, Li Z, Yang N, Liu T, Han D, Sun Z, Shi C, Zhou Y, Shi J, Liu Y, Guo X (2024) Melatonin regulates the circadian rhythm to ameliorate postoperative sleep disorder and neurobehavioral abnormalities in aged mice. CNS Neurosci Ther 30:e14436. https://doi.org/10.1111/cns.14436</w:t>
      </w:r>
    </w:p>
    <w:p>
      <w:pPr>
        <w:pStyle w:val="ListNumber"/>
      </w:pPr>
      <w:r>
        <w:t>Gögenur I, Wildschiøtz G, Rosenberg J (2008) Circadian distribution of sleep phases after major abdominal surgery. Br J Anaesth 100:45–49. https://doi.org/10.1093/bja/aem340</w:t>
      </w:r>
    </w:p>
    <w:p>
      <w:pPr>
        <w:pStyle w:val="ListNumber"/>
      </w:pPr>
      <w:r>
        <w:t>Yang RZ, Lin S, Huang LT, Weng J, Liu QM, Chen HS, Ruan N, Zeng K (2026) Effect of targeted probiotics on anesthesia-induced sleep disturbances via modulating the gut microbiome and metabolites. Food Sci Nutr 14:e71447. https://doi.org/10.1002/fsn3.71447</w:t>
      </w:r>
    </w:p>
    <w:p>
      <w:pPr>
        <w:pStyle w:val="ListNumber"/>
      </w:pPr>
      <w:r>
        <w:t>Kim JJ, Gharpure A, Teng J, Zhuang Y, Howard RJ, Zhu S, Noviello CM, Walsh RM Jr, Lindahl E, Hibbs RE (2020) Shared structural mechanisms of general anaesthetics and benzodiazepines. Nature 585:303–308. https://doi.org/10.1038/s41586-020-2654-5</w:t>
      </w:r>
    </w:p>
    <w:p>
      <w:pPr>
        <w:pStyle w:val="ListNumber"/>
      </w:pPr>
      <w:r>
        <w:t>Eberhardt J, Santos-Martins D, Tillack AF, Forli S (2021) AutoDock Vina 1.2.0: new docking methods, expanded force field, and Python bindings. J Chem Inf Model 61:3891–3898. https://doi.org/10.1021/acs.jcim.1c00203</w:t>
      </w:r>
    </w:p>
    <w:p>
      <w:pPr>
        <w:pStyle w:val="ListNumber"/>
      </w:pPr>
      <w:r>
        <w:t>Trott O, Olson AJ (2010) AutoDock Vina: improving the speed and accuracy of docking with a new scoring function, efficient optimization, and multithreading. J Comput Chem 31:455–461. https://doi.org/10.1002/jcc.21334</w:t>
      </w:r>
    </w:p>
    <w:p>
      <w:pPr>
        <w:pStyle w:val="ListNumber"/>
      </w:pPr>
      <w:r>
        <w:t>Sigel E, Buhr A (1997) The benzodiazepine binding site of GABA</w:t>
      </w:r>
      <w:r>
        <w:rPr>
          <w:vertAlign w:val="subscript"/>
        </w:rPr>
        <w:t>A</w:t>
      </w:r>
      <w:r>
        <w:t xml:space="preserve"> receptors. Trends Pharmacol Sci 18:425–429. https://doi.org/10.1016/S0165-6147(97)01118-8</w:t>
      </w:r>
    </w:p>
    <w:p>
      <w:pPr>
        <w:pStyle w:val="ListNumber"/>
      </w:pPr>
      <w:r>
        <w:t>Abraham MJ, Murtola T, Schulz R, Páll S, Smith JC, Hess B, Lindahl E (2015) GROMACS: high performance molecular simulations through multi-level parallelism from laptops to supercomputers. SoftwareX 1-2:19–25. https://doi.org/10.1016/j.softx.2015.06.001</w:t>
      </w:r>
    </w:p>
    <w:p>
      <w:pPr>
        <w:pStyle w:val="ListNumber"/>
      </w:pPr>
      <w:r>
        <w:t>Lindorff-Larsen K, Piana S, Palmo K, Maragakis P, Klepeis JL, Dror RO, Shaw DE (2010) Improved side-chain torsion potentials for the Amber ff99SB protein force field. Proteins 78:1950–1958. https://doi.org/10.1002/prot.22711</w:t>
      </w:r>
    </w:p>
    <w:p>
      <w:pPr>
        <w:pStyle w:val="ListNumber"/>
      </w:pPr>
      <w:r>
        <w:t>Wang J, Wolf RM, Caldwell JW, Kollman PA, Case DA (2004) Development and testing of a general Amber force field. J Comput Chem 25:1157–1174. https://doi.org/10.1002/jcc.20035</w:t>
      </w:r>
    </w:p>
    <w:p>
      <w:pPr>
        <w:pStyle w:val="ListNumber"/>
      </w:pPr>
      <w:r>
        <w:t>McGibbon RT, Beauchamp KA, Harrigan MP, Klein C, Swails JM, Hernández CX, Schwantes CR, Wang LP, Lane TJ, Pande VS (2015) MDTraj: a modern open library for the analysis of molecular dynamics trajectories. Biophys J 109:1528–1532. https://doi.org/10.1016/j.bpj.2015.08.015</w:t>
      </w:r>
    </w:p>
    <w:p>
      <w:pPr>
        <w:pStyle w:val="ListNumber"/>
      </w:pPr>
      <w:r>
        <w:t>Valdés-Tresanco MS, Valdés-Tresanco ME, Valiente PA, Moreno E (2021) gmx_MMPBSA: a new tool to perform end-state free energy calculations with GROMACS. J Chem Theory Comput 17:6281–6291. https://doi.org/10.1021/acs.jctc.1c00645</w:t>
      </w:r>
    </w:p>
    <w:p>
      <w:pPr>
        <w:pStyle w:val="ListNumber"/>
      </w:pPr>
      <w:r>
        <w:t>Fan C, Cowgill J, Howard RJ, Lindahl E (2024) Divergent mechanisms of steroid inhibition in the human ρ1 GABA</w:t>
      </w:r>
      <w:r>
        <w:rPr>
          <w:vertAlign w:val="subscript"/>
        </w:rPr>
        <w:t>A</w:t>
      </w:r>
      <w:r>
        <w:t xml:space="preserve"> receptor. Nat Commun 15:7795. https://doi.org/10.1038/s41467-024-51904-7</w:t>
      </w:r>
    </w:p>
    <w:p>
      <w:pPr>
        <w:pStyle w:val="ListNumber"/>
      </w:pPr>
      <w:r>
        <w:t>Chen CYC, Chen YF, Wu CH, Tsai HY (2008) What is the effective component in suanzaoren decoction for curing insomnia? Discovery by virtual screening and molecular dynamic simulation. J Biomol Struct Dyn 26:57–64. https://doi.org/10.1080/07391102.2008.10507223</w:t>
      </w:r>
    </w:p>
    <w:p>
      <w:pPr>
        <w:pStyle w:val="ListNumber"/>
      </w:pPr>
      <w:r>
        <w:t>Eaton MM, Lim YB, Bracamontes J, Steinbach JH, Akk G (2012) Agonist-specific conformational changes in the α1/γ2 subunit interface of the GABA</w:t>
      </w:r>
      <w:r>
        <w:rPr>
          <w:vertAlign w:val="subscript"/>
        </w:rPr>
        <w:t>A</w:t>
      </w:r>
      <w:r>
        <w:t xml:space="preserve"> receptor. Mol Pharmacol 82:255–263. https://doi.org/10.1124/mol.112.077875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